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9B8066E" w:rsidR="00902D2F" w:rsidRDefault="00470D56" w:rsidP="00B41C02">
      <w:pPr>
        <w:jc w:val="both"/>
        <w:rPr>
          <w:rFonts w:ascii="Tahoma" w:hAnsi="Tahoma" w:cs="Tahoma"/>
        </w:rPr>
      </w:pPr>
      <w:r>
        <w:rPr>
          <w:noProof/>
        </w:rPr>
        <w:drawing>
          <wp:inline distT="0" distB="0" distL="0" distR="0" wp14:anchorId="64F6279C" wp14:editId="663B9F0F">
            <wp:extent cx="6282690" cy="3268980"/>
            <wp:effectExtent l="0" t="0" r="3810" b="762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86113" cy="3270761"/>
                    </a:xfrm>
                    <a:prstGeom prst="rect">
                      <a:avLst/>
                    </a:prstGeom>
                    <a:noFill/>
                    <a:ln>
                      <a:noFill/>
                    </a:ln>
                  </pic:spPr>
                </pic:pic>
              </a:graphicData>
            </a:graphic>
          </wp:inline>
        </w:drawing>
      </w:r>
    </w:p>
    <w:p w14:paraId="555DA04C" w14:textId="6668B0CE"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6E32BB">
        <w:rPr>
          <w:rFonts w:ascii="Tahoma" w:hAnsi="Tahoma" w:cs="Tahoma"/>
        </w:rPr>
        <w:t>e</w:t>
      </w:r>
      <w:r w:rsidR="00470D56">
        <w:rPr>
          <w:rFonts w:ascii="Tahoma" w:hAnsi="Tahoma" w:cs="Tahoma"/>
        </w:rPr>
        <w:t xml:space="preserve"> marché éprouve de grandes difficultés à progresser régulièrement.</w:t>
      </w:r>
    </w:p>
    <w:p w14:paraId="5953BD21" w14:textId="7BEB0BB1" w:rsidR="00470D56" w:rsidRDefault="00470D56" w:rsidP="00263ED0">
      <w:pPr>
        <w:jc w:val="both"/>
        <w:rPr>
          <w:rFonts w:ascii="Tahoma" w:hAnsi="Tahoma" w:cs="Tahoma"/>
        </w:rPr>
      </w:pPr>
      <w:r>
        <w:rPr>
          <w:rFonts w:ascii="Tahoma" w:hAnsi="Tahoma" w:cs="Tahoma"/>
        </w:rPr>
        <w:t xml:space="preserve">Après une chandelle blanche la semaine dernière, c’est une nouvelle bougie noire qui </w:t>
      </w:r>
      <w:r w:rsidR="003F141C">
        <w:rPr>
          <w:rFonts w:ascii="Tahoma" w:hAnsi="Tahoma" w:cs="Tahoma"/>
        </w:rPr>
        <w:t>clôture</w:t>
      </w:r>
      <w:r>
        <w:rPr>
          <w:rFonts w:ascii="Tahoma" w:hAnsi="Tahoma" w:cs="Tahoma"/>
        </w:rPr>
        <w:t xml:space="preserve"> la semaine. Pourtant l’indice a validé un nouveau haut à 4324.</w:t>
      </w:r>
    </w:p>
    <w:p w14:paraId="3B5669C8" w14:textId="0147A87F" w:rsidR="00470D56" w:rsidRDefault="00470D56" w:rsidP="00263ED0">
      <w:pPr>
        <w:jc w:val="both"/>
        <w:rPr>
          <w:rFonts w:ascii="Tahoma" w:hAnsi="Tahoma" w:cs="Tahoma"/>
        </w:rPr>
      </w:pPr>
      <w:r>
        <w:rPr>
          <w:rFonts w:ascii="Tahoma" w:hAnsi="Tahoma" w:cs="Tahoma"/>
        </w:rPr>
        <w:t xml:space="preserve">L’alternance de chandeliers de couleurs différentes traduit un manque de conviction. Ce n’est pas à ma connaissance une structure d’alerte mais comme je l’ai toujours pensé, ce type de formation doit nous inciter à éviter </w:t>
      </w:r>
      <w:r w:rsidR="003F141C">
        <w:rPr>
          <w:rFonts w:ascii="Tahoma" w:hAnsi="Tahoma" w:cs="Tahoma"/>
        </w:rPr>
        <w:t>momentanément</w:t>
      </w:r>
      <w:r>
        <w:rPr>
          <w:rFonts w:ascii="Tahoma" w:hAnsi="Tahoma" w:cs="Tahoma"/>
        </w:rPr>
        <w:t xml:space="preserve"> cet actif.</w:t>
      </w:r>
      <w:r w:rsidR="00657AE8">
        <w:rPr>
          <w:rFonts w:ascii="Tahoma" w:hAnsi="Tahoma" w:cs="Tahoma"/>
        </w:rPr>
        <w:t xml:space="preserve"> Pourquoi</w:t>
      </w:r>
      <w:r w:rsidR="001960F0">
        <w:rPr>
          <w:rFonts w:ascii="Tahoma" w:hAnsi="Tahoma" w:cs="Tahoma"/>
        </w:rPr>
        <w:t>,</w:t>
      </w:r>
      <w:r w:rsidR="00657AE8">
        <w:rPr>
          <w:rFonts w:ascii="Tahoma" w:hAnsi="Tahoma" w:cs="Tahoma"/>
        </w:rPr>
        <w:t xml:space="preserve"> parce que les prix peuvent partir à tout moment dans n’importe quel sens.</w:t>
      </w:r>
    </w:p>
    <w:p w14:paraId="6A890954" w14:textId="5F71209D" w:rsidR="00657AE8" w:rsidRDefault="00657AE8" w:rsidP="00263ED0">
      <w:pPr>
        <w:jc w:val="both"/>
        <w:rPr>
          <w:rFonts w:ascii="Tahoma" w:hAnsi="Tahoma" w:cs="Tahoma"/>
        </w:rPr>
      </w:pPr>
      <w:r>
        <w:rPr>
          <w:rFonts w:ascii="Tahoma" w:hAnsi="Tahoma" w:cs="Tahoma"/>
        </w:rPr>
        <w:t xml:space="preserve">Rien pour </w:t>
      </w:r>
      <w:r w:rsidR="001960F0">
        <w:rPr>
          <w:rFonts w:ascii="Tahoma" w:hAnsi="Tahoma" w:cs="Tahoma"/>
        </w:rPr>
        <w:t>l’instant</w:t>
      </w:r>
      <w:r>
        <w:rPr>
          <w:rFonts w:ascii="Tahoma" w:hAnsi="Tahoma" w:cs="Tahoma"/>
        </w:rPr>
        <w:t xml:space="preserve"> ne va contre une poursuite de la hausse vers le précédent sommet de 4400. Mais Comme nous sommes dans un environnement suracheté, il est plus que prudent de ne pas ouvrir de positions longues.</w:t>
      </w:r>
    </w:p>
    <w:p w14:paraId="10BB9766" w14:textId="7FBCC9D3" w:rsidR="00723F77" w:rsidRDefault="0069578F" w:rsidP="00041E45">
      <w:pPr>
        <w:jc w:val="both"/>
        <w:rPr>
          <w:rFonts w:ascii="Tahoma" w:hAnsi="Tahoma" w:cs="Tahoma"/>
        </w:rPr>
      </w:pPr>
      <w:r>
        <w:rPr>
          <w:rFonts w:ascii="Tahoma" w:hAnsi="Tahoma" w:cs="Tahoma"/>
        </w:rPr>
        <w:t>Je reste sur la logique d’un marché qui à l’approche de sa résistance majeure de 4400, devrait être amené à corriger.</w:t>
      </w:r>
      <w:r w:rsidR="009D3A3F">
        <w:rPr>
          <w:rFonts w:ascii="Tahoma" w:hAnsi="Tahoma" w:cs="Tahoma"/>
        </w:rPr>
        <w:t xml:space="preserve"> 4100-</w:t>
      </w:r>
      <w:r w:rsidR="001960F0">
        <w:rPr>
          <w:rFonts w:ascii="Tahoma" w:hAnsi="Tahoma" w:cs="Tahoma"/>
        </w:rPr>
        <w:t>413</w:t>
      </w:r>
      <w:r w:rsidR="009D3A3F">
        <w:rPr>
          <w:rFonts w:ascii="Tahoma" w:hAnsi="Tahoma" w:cs="Tahoma"/>
        </w:rPr>
        <w:t xml:space="preserve">0, borne haute du nuage (SSA) </w:t>
      </w:r>
      <w:r w:rsidR="001960F0">
        <w:rPr>
          <w:rFonts w:ascii="Tahoma" w:hAnsi="Tahoma" w:cs="Tahoma"/>
        </w:rPr>
        <w:t>D</w:t>
      </w:r>
      <w:r w:rsidR="009D3A3F">
        <w:rPr>
          <w:rFonts w:ascii="Tahoma" w:hAnsi="Tahoma" w:cs="Tahoma"/>
        </w:rPr>
        <w:t>aily parait dans ce contexte un bon niveau de support.</w:t>
      </w:r>
    </w:p>
    <w:p w14:paraId="7F5C27F5" w14:textId="4DBF9638" w:rsidR="006D0B13" w:rsidRDefault="00295769" w:rsidP="00041E45">
      <w:pPr>
        <w:jc w:val="both"/>
        <w:rPr>
          <w:rFonts w:ascii="Tahoma" w:hAnsi="Tahoma" w:cs="Tahoma"/>
        </w:rPr>
      </w:pPr>
      <w:r>
        <w:rPr>
          <w:rFonts w:ascii="Tahoma" w:hAnsi="Tahoma" w:cs="Tahoma"/>
        </w:rPr>
        <w:t>Le H4 montre une dérive latérale comprise entre 4180 et 4320 avec une zone neutre à 4250.</w:t>
      </w:r>
    </w:p>
    <w:p w14:paraId="60BCBCEA" w14:textId="0626C7DC" w:rsidR="00295769" w:rsidRDefault="00295769" w:rsidP="00041E45">
      <w:pPr>
        <w:jc w:val="both"/>
        <w:rPr>
          <w:rFonts w:ascii="Tahoma" w:hAnsi="Tahoma" w:cs="Tahoma"/>
        </w:rPr>
      </w:pPr>
      <w:r>
        <w:rPr>
          <w:rFonts w:ascii="Tahoma" w:hAnsi="Tahoma" w:cs="Tahoma"/>
        </w:rPr>
        <w:t xml:space="preserve">Dans ce contexte, le support Daily sera envisagé en cassure </w:t>
      </w:r>
      <w:r w:rsidR="001960F0">
        <w:rPr>
          <w:rFonts w:ascii="Tahoma" w:hAnsi="Tahoma" w:cs="Tahoma"/>
        </w:rPr>
        <w:t>et</w:t>
      </w:r>
      <w:r>
        <w:rPr>
          <w:rFonts w:ascii="Tahoma" w:hAnsi="Tahoma" w:cs="Tahoma"/>
        </w:rPr>
        <w:t xml:space="preserve"> maintien des prix sous 4180.</w:t>
      </w:r>
    </w:p>
    <w:p w14:paraId="4834CC4E" w14:textId="77777777" w:rsidR="001960F0" w:rsidRDefault="001960F0" w:rsidP="00041E45">
      <w:pPr>
        <w:jc w:val="both"/>
        <w:rPr>
          <w:rFonts w:ascii="Tahoma" w:hAnsi="Tahoma" w:cs="Tahoma"/>
          <w:u w:val="single"/>
        </w:rPr>
      </w:pPr>
    </w:p>
    <w:p w14:paraId="7ECBFD62" w14:textId="067E0455"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6D0B13">
        <w:rPr>
          <w:rFonts w:ascii="Tahoma" w:hAnsi="Tahoma" w:cs="Tahoma"/>
        </w:rPr>
        <w:t xml:space="preserve"> </w:t>
      </w:r>
      <w:r w:rsidR="00295769">
        <w:rPr>
          <w:rFonts w:ascii="Tahoma" w:hAnsi="Tahoma" w:cs="Tahoma"/>
        </w:rPr>
        <w:t>C</w:t>
      </w:r>
      <w:r w:rsidR="006D0B13">
        <w:rPr>
          <w:rFonts w:ascii="Tahoma" w:hAnsi="Tahoma" w:cs="Tahoma"/>
        </w:rPr>
        <w:t xml:space="preserve">orrection envisagée si la hausse devait se poursuivre sur 4400. </w:t>
      </w:r>
      <w:r w:rsidR="001960F0">
        <w:rPr>
          <w:rFonts w:ascii="Tahoma" w:hAnsi="Tahoma" w:cs="Tahoma"/>
        </w:rPr>
        <w:t xml:space="preserve">Risque de baisse sur </w:t>
      </w:r>
      <w:r w:rsidR="006D0B13">
        <w:rPr>
          <w:rFonts w:ascii="Tahoma" w:hAnsi="Tahoma" w:cs="Tahoma"/>
        </w:rPr>
        <w:t xml:space="preserve">SSA </w:t>
      </w:r>
      <w:r w:rsidR="001960F0">
        <w:rPr>
          <w:rFonts w:ascii="Tahoma" w:hAnsi="Tahoma" w:cs="Tahoma"/>
        </w:rPr>
        <w:t xml:space="preserve">daily </w:t>
      </w:r>
      <w:r w:rsidR="006D0B13">
        <w:rPr>
          <w:rFonts w:ascii="Tahoma" w:hAnsi="Tahoma" w:cs="Tahoma"/>
        </w:rPr>
        <w:t xml:space="preserve">en progression </w:t>
      </w:r>
      <w:r w:rsidR="001960F0">
        <w:rPr>
          <w:rFonts w:ascii="Tahoma" w:hAnsi="Tahoma" w:cs="Tahoma"/>
        </w:rPr>
        <w:t>(4100-4130) si cassure 4180 sur très court terme.</w:t>
      </w: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960F0"/>
    <w:rsid w:val="001D474B"/>
    <w:rsid w:val="001F650A"/>
    <w:rsid w:val="002003AD"/>
    <w:rsid w:val="002421FE"/>
    <w:rsid w:val="00262E25"/>
    <w:rsid w:val="00263ED0"/>
    <w:rsid w:val="00295769"/>
    <w:rsid w:val="002A1F8E"/>
    <w:rsid w:val="002B5CB1"/>
    <w:rsid w:val="002C0A31"/>
    <w:rsid w:val="002F54B0"/>
    <w:rsid w:val="0030643B"/>
    <w:rsid w:val="00337611"/>
    <w:rsid w:val="00340FD9"/>
    <w:rsid w:val="00352DD9"/>
    <w:rsid w:val="003C2E49"/>
    <w:rsid w:val="003C6891"/>
    <w:rsid w:val="003F141C"/>
    <w:rsid w:val="0040171B"/>
    <w:rsid w:val="00467005"/>
    <w:rsid w:val="00470D56"/>
    <w:rsid w:val="004A5154"/>
    <w:rsid w:val="00531928"/>
    <w:rsid w:val="005440A4"/>
    <w:rsid w:val="00546A5A"/>
    <w:rsid w:val="00566580"/>
    <w:rsid w:val="00567AF3"/>
    <w:rsid w:val="00583BC8"/>
    <w:rsid w:val="00654380"/>
    <w:rsid w:val="00657AE8"/>
    <w:rsid w:val="0069578F"/>
    <w:rsid w:val="006D0B13"/>
    <w:rsid w:val="006E32BB"/>
    <w:rsid w:val="00723F77"/>
    <w:rsid w:val="00744696"/>
    <w:rsid w:val="00772067"/>
    <w:rsid w:val="0077545D"/>
    <w:rsid w:val="007A0E6C"/>
    <w:rsid w:val="007B661D"/>
    <w:rsid w:val="007D19FF"/>
    <w:rsid w:val="007D2085"/>
    <w:rsid w:val="0083454A"/>
    <w:rsid w:val="00835AC6"/>
    <w:rsid w:val="00837B38"/>
    <w:rsid w:val="00896554"/>
    <w:rsid w:val="008A7407"/>
    <w:rsid w:val="008F10C2"/>
    <w:rsid w:val="00902D2F"/>
    <w:rsid w:val="00961FDF"/>
    <w:rsid w:val="00983B7D"/>
    <w:rsid w:val="009A37C2"/>
    <w:rsid w:val="009D3A3F"/>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2</Pages>
  <Words>350</Words>
  <Characters>1931</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82</cp:revision>
  <dcterms:created xsi:type="dcterms:W3CDTF">2021-11-25T09:44:00Z</dcterms:created>
  <dcterms:modified xsi:type="dcterms:W3CDTF">2023-03-12T14:01:00Z</dcterms:modified>
</cp:coreProperties>
</file>