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94BF8A" w14:textId="7CB3900E" w:rsidR="00902D2F" w:rsidRPr="00263ED0" w:rsidRDefault="00263ED0" w:rsidP="00B41C02">
      <w:pPr>
        <w:jc w:val="both"/>
        <w:rPr>
          <w:rFonts w:ascii="Tahoma" w:hAnsi="Tahoma" w:cs="Tahoma"/>
          <w:sz w:val="48"/>
          <w:szCs w:val="48"/>
          <w:u w:val="single"/>
        </w:rPr>
      </w:pPr>
      <w:r>
        <w:rPr>
          <w:rFonts w:ascii="Tahoma" w:hAnsi="Tahoma" w:cs="Tahoma"/>
        </w:rPr>
        <w:t xml:space="preserve">                                      </w:t>
      </w:r>
      <w:r w:rsidR="003767E0">
        <w:rPr>
          <w:rFonts w:ascii="Tahoma" w:hAnsi="Tahoma" w:cs="Tahoma"/>
          <w:sz w:val="48"/>
          <w:szCs w:val="48"/>
          <w:u w:val="single"/>
        </w:rPr>
        <w:t>Bund</w:t>
      </w:r>
      <w:r w:rsidRPr="00263ED0">
        <w:rPr>
          <w:rFonts w:ascii="Tahoma" w:hAnsi="Tahoma" w:cs="Tahoma"/>
          <w:sz w:val="48"/>
          <w:szCs w:val="48"/>
          <w:u w:val="single"/>
        </w:rPr>
        <w:t xml:space="preserve"> </w:t>
      </w:r>
    </w:p>
    <w:p w14:paraId="6A0F7EC2" w14:textId="1956B176" w:rsidR="00902D2F" w:rsidRPr="00041E45" w:rsidRDefault="00902D2F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t>Week</w:t>
      </w:r>
    </w:p>
    <w:p w14:paraId="685822D0" w14:textId="1B20C6AD" w:rsidR="006E32BB" w:rsidRDefault="006311F5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50F74F35" wp14:editId="3A8460D6">
            <wp:extent cx="6309360" cy="4732020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9360" cy="4732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C4D2D2" w14:textId="5372A8FF" w:rsidR="00DF072F" w:rsidRDefault="006311F5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Voici en gros ce qu’a donné l’évolution du contrat Bund sur la semaine. Je dis en gros car selon les </w:t>
      </w:r>
      <w:r w:rsidR="003A609B">
        <w:rPr>
          <w:rFonts w:ascii="Tahoma" w:hAnsi="Tahoma" w:cs="Tahoma"/>
        </w:rPr>
        <w:t>fournisseurs</w:t>
      </w:r>
      <w:r w:rsidR="001D3D1E">
        <w:rPr>
          <w:rFonts w:ascii="Tahoma" w:hAnsi="Tahoma" w:cs="Tahoma"/>
        </w:rPr>
        <w:t xml:space="preserve"> de données</w:t>
      </w:r>
      <w:r>
        <w:rPr>
          <w:rFonts w:ascii="Tahoma" w:hAnsi="Tahoma" w:cs="Tahoma"/>
        </w:rPr>
        <w:t xml:space="preserve">, le roll </w:t>
      </w:r>
      <w:r w:rsidR="005F0F87">
        <w:rPr>
          <w:rFonts w:ascii="Tahoma" w:hAnsi="Tahoma" w:cs="Tahoma"/>
        </w:rPr>
        <w:t xml:space="preserve">d’échéance et les heures de cotation peuvent afficher des données </w:t>
      </w:r>
      <w:r w:rsidR="001D3D1E">
        <w:rPr>
          <w:rFonts w:ascii="Tahoma" w:hAnsi="Tahoma" w:cs="Tahoma"/>
        </w:rPr>
        <w:t>légèrement</w:t>
      </w:r>
      <w:r w:rsidR="005F0F87">
        <w:rPr>
          <w:rFonts w:ascii="Tahoma" w:hAnsi="Tahoma" w:cs="Tahoma"/>
        </w:rPr>
        <w:t xml:space="preserve"> différentes. </w:t>
      </w:r>
    </w:p>
    <w:p w14:paraId="11F3D91B" w14:textId="77777777" w:rsidR="005F0F87" w:rsidRDefault="005F0F87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Quoi qu’il en soit, deux observations ressortent de l’évolution des cours sur la période. </w:t>
      </w:r>
    </w:p>
    <w:p w14:paraId="1D203D44" w14:textId="720B4EB1" w:rsidR="005F0F87" w:rsidRDefault="005F0F87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D’une part l’inversion des polarités qui plaçait le marché dans un environnement baissier, a été invalidé par un retour des prix </w:t>
      </w:r>
      <w:r w:rsidR="001D3D1E">
        <w:rPr>
          <w:rFonts w:ascii="Tahoma" w:hAnsi="Tahoma" w:cs="Tahoma"/>
        </w:rPr>
        <w:t>au-dessus</w:t>
      </w:r>
      <w:r>
        <w:rPr>
          <w:rFonts w:ascii="Tahoma" w:hAnsi="Tahoma" w:cs="Tahoma"/>
        </w:rPr>
        <w:t xml:space="preserve"> de l’ancien support (juin 23) de 132.20. En effet dans un environnement baissier, les vendeurs devaient profiter du r</w:t>
      </w:r>
      <w:r w:rsidR="00665F61">
        <w:rPr>
          <w:rFonts w:ascii="Tahoma" w:hAnsi="Tahoma" w:cs="Tahoma"/>
        </w:rPr>
        <w:t xml:space="preserve">etour </w:t>
      </w:r>
      <w:r>
        <w:rPr>
          <w:rFonts w:ascii="Tahoma" w:hAnsi="Tahoma" w:cs="Tahoma"/>
        </w:rPr>
        <w:t>des prix pour</w:t>
      </w:r>
      <w:r w:rsidR="00665F61">
        <w:rPr>
          <w:rFonts w:ascii="Tahoma" w:hAnsi="Tahoma" w:cs="Tahoma"/>
        </w:rPr>
        <w:t xml:space="preserve"> </w:t>
      </w:r>
      <w:r w:rsidR="001D3D1E">
        <w:rPr>
          <w:rFonts w:ascii="Tahoma" w:hAnsi="Tahoma" w:cs="Tahoma"/>
        </w:rPr>
        <w:t>alléger</w:t>
      </w:r>
      <w:r w:rsidR="00665F61">
        <w:rPr>
          <w:rFonts w:ascii="Tahoma" w:hAnsi="Tahoma" w:cs="Tahoma"/>
        </w:rPr>
        <w:t xml:space="preserve"> leurs positions longues à moindre coût.</w:t>
      </w:r>
      <w:r>
        <w:rPr>
          <w:rFonts w:ascii="Tahoma" w:hAnsi="Tahoma" w:cs="Tahoma"/>
        </w:rPr>
        <w:t xml:space="preserve"> </w:t>
      </w:r>
    </w:p>
    <w:p w14:paraId="70E35473" w14:textId="70CA29C8" w:rsidR="00F54747" w:rsidRDefault="00665F61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D’autre part, la </w:t>
      </w:r>
      <w:r w:rsidR="001D3D1E">
        <w:rPr>
          <w:rFonts w:ascii="Tahoma" w:hAnsi="Tahoma" w:cs="Tahoma"/>
        </w:rPr>
        <w:t>clôture</w:t>
      </w:r>
      <w:r>
        <w:rPr>
          <w:rFonts w:ascii="Tahoma" w:hAnsi="Tahoma" w:cs="Tahoma"/>
        </w:rPr>
        <w:t xml:space="preserve"> du dernier chandelier dessine un avalement haussier, </w:t>
      </w:r>
      <w:r w:rsidR="009B54DD">
        <w:rPr>
          <w:rFonts w:ascii="Tahoma" w:hAnsi="Tahoma" w:cs="Tahoma"/>
        </w:rPr>
        <w:t>structure favorable à un changement de tendance.</w:t>
      </w:r>
    </w:p>
    <w:p w14:paraId="50B4708E" w14:textId="16B1D41F" w:rsidR="00F54747" w:rsidRDefault="00F54747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Je resterai prudent quant à la poursuite de la hausse dans le contexte fondamental actuel. Cette hausse est liée aux données économiques influençant les hausses de taux de la part de la Reserve </w:t>
      </w:r>
      <w:r w:rsidR="001D3D1E">
        <w:rPr>
          <w:rFonts w:ascii="Tahoma" w:hAnsi="Tahoma" w:cs="Tahoma"/>
        </w:rPr>
        <w:t>Fédérale</w:t>
      </w:r>
      <w:r>
        <w:rPr>
          <w:rFonts w:ascii="Tahoma" w:hAnsi="Tahoma" w:cs="Tahoma"/>
        </w:rPr>
        <w:t xml:space="preserve"> et aussi de la BCE.</w:t>
      </w:r>
    </w:p>
    <w:p w14:paraId="3A4C9ED9" w14:textId="4CA66D2C" w:rsidR="00665F61" w:rsidRDefault="00F54747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lastRenderedPageBreak/>
        <w:t>Le 2</w:t>
      </w:r>
      <w:r w:rsidR="00551B4C">
        <w:rPr>
          <w:rFonts w:ascii="Tahoma" w:hAnsi="Tahoma" w:cs="Tahoma"/>
        </w:rPr>
        <w:t>2</w:t>
      </w:r>
      <w:r>
        <w:rPr>
          <w:rFonts w:ascii="Tahoma" w:hAnsi="Tahoma" w:cs="Tahoma"/>
        </w:rPr>
        <w:t xml:space="preserve"> mars prochain </w:t>
      </w:r>
      <w:r w:rsidR="00661C0E">
        <w:rPr>
          <w:rFonts w:ascii="Tahoma" w:hAnsi="Tahoma" w:cs="Tahoma"/>
        </w:rPr>
        <w:t xml:space="preserve">la Fed se réunira et décidera de l’ampleur de sa prochaine hausse. Les marchés risquent d’être volatile d’ici cette date. </w:t>
      </w:r>
      <w:r w:rsidR="00665F61">
        <w:rPr>
          <w:rFonts w:ascii="Tahoma" w:hAnsi="Tahoma" w:cs="Tahoma"/>
        </w:rPr>
        <w:t xml:space="preserve"> </w:t>
      </w:r>
    </w:p>
    <w:p w14:paraId="27B70F79" w14:textId="0E4F0ED1" w:rsidR="00551B4C" w:rsidRDefault="00551B4C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Quoi qu’il en soit, l’optimisme des investisseurs quant à une hausse limitée </w:t>
      </w:r>
      <w:r w:rsidR="0066413C">
        <w:rPr>
          <w:rFonts w:ascii="Tahoma" w:hAnsi="Tahoma" w:cs="Tahoma"/>
        </w:rPr>
        <w:t>de</w:t>
      </w:r>
      <w:r>
        <w:rPr>
          <w:rFonts w:ascii="Tahoma" w:hAnsi="Tahoma" w:cs="Tahoma"/>
        </w:rPr>
        <w:t xml:space="preserve"> 25 bps au lieu de 50 bps, se matérialisera par un maintien du contrat Bund </w:t>
      </w:r>
      <w:r w:rsidR="001D3D1E">
        <w:rPr>
          <w:rFonts w:ascii="Tahoma" w:hAnsi="Tahoma" w:cs="Tahoma"/>
        </w:rPr>
        <w:t>au-dessus</w:t>
      </w:r>
      <w:r>
        <w:rPr>
          <w:rFonts w:ascii="Tahoma" w:hAnsi="Tahoma" w:cs="Tahoma"/>
        </w:rPr>
        <w:t xml:space="preserve"> de 132.20. L’importance de ce point vient du fait qu’il représente </w:t>
      </w:r>
      <w:r w:rsidR="003F6C87">
        <w:rPr>
          <w:rFonts w:ascii="Tahoma" w:hAnsi="Tahoma" w:cs="Tahoma"/>
        </w:rPr>
        <w:t xml:space="preserve">une ancienne zone de support issue </w:t>
      </w:r>
      <w:r>
        <w:rPr>
          <w:rFonts w:ascii="Tahoma" w:hAnsi="Tahoma" w:cs="Tahoma"/>
        </w:rPr>
        <w:t xml:space="preserve">de plats </w:t>
      </w:r>
      <w:r w:rsidR="0066413C">
        <w:rPr>
          <w:rFonts w:ascii="Tahoma" w:hAnsi="Tahoma" w:cs="Tahoma"/>
        </w:rPr>
        <w:t xml:space="preserve">passés </w:t>
      </w:r>
      <w:r>
        <w:rPr>
          <w:rFonts w:ascii="Tahoma" w:hAnsi="Tahoma" w:cs="Tahoma"/>
        </w:rPr>
        <w:t>de plusieurs unités de temps, plat</w:t>
      </w:r>
      <w:r w:rsidR="0066413C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>de TS mensuel et plat de SSB hebdomadaire.</w:t>
      </w:r>
    </w:p>
    <w:p w14:paraId="374D1F17" w14:textId="4AA6B1FB" w:rsidR="00583BC8" w:rsidRDefault="003F6C87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Pas de mouvement directionnel soutenue avant le 22 mars. Le petit plat </w:t>
      </w:r>
      <w:r w:rsidR="0066413C">
        <w:rPr>
          <w:rFonts w:ascii="Tahoma" w:hAnsi="Tahoma" w:cs="Tahoma"/>
        </w:rPr>
        <w:t xml:space="preserve">actuel </w:t>
      </w:r>
      <w:r>
        <w:rPr>
          <w:rFonts w:ascii="Tahoma" w:hAnsi="Tahoma" w:cs="Tahoma"/>
        </w:rPr>
        <w:t>de TS de 135.07 devrait servir de pivot au cours des prochaines séances.</w:t>
      </w:r>
    </w:p>
    <w:p w14:paraId="10BB9766" w14:textId="77777777" w:rsidR="00723F77" w:rsidRDefault="00723F77" w:rsidP="00041E45">
      <w:pPr>
        <w:jc w:val="both"/>
        <w:rPr>
          <w:rFonts w:ascii="Tahoma" w:hAnsi="Tahoma" w:cs="Tahoma"/>
        </w:rPr>
      </w:pPr>
    </w:p>
    <w:p w14:paraId="712DABDB" w14:textId="6D6E62EF" w:rsidR="0075421A" w:rsidRDefault="00B94D71" w:rsidP="0075421A">
      <w:pPr>
        <w:jc w:val="both"/>
        <w:rPr>
          <w:rFonts w:ascii="Tahoma" w:hAnsi="Tahoma" w:cs="Tahoma"/>
        </w:rPr>
      </w:pPr>
      <w:r>
        <w:rPr>
          <w:rFonts w:ascii="Tahoma" w:hAnsi="Tahoma" w:cs="Tahoma"/>
          <w:u w:val="single"/>
        </w:rPr>
        <w:t>CONCLUSION</w:t>
      </w:r>
      <w:r>
        <w:rPr>
          <w:rFonts w:ascii="Tahoma" w:hAnsi="Tahoma" w:cs="Tahoma"/>
        </w:rPr>
        <w:t> :</w:t>
      </w:r>
      <w:r w:rsidR="0075421A" w:rsidRPr="0075421A">
        <w:rPr>
          <w:rFonts w:ascii="Tahoma" w:hAnsi="Tahoma" w:cs="Tahoma"/>
        </w:rPr>
        <w:t xml:space="preserve"> </w:t>
      </w:r>
      <w:r w:rsidR="0075421A">
        <w:rPr>
          <w:rFonts w:ascii="Tahoma" w:hAnsi="Tahoma" w:cs="Tahoma"/>
        </w:rPr>
        <w:t>Le petit plat de TS de 135.07 devrait servir de pivot au cours des prochaines séances.</w:t>
      </w:r>
    </w:p>
    <w:p w14:paraId="258EB8FF" w14:textId="0026D963" w:rsidR="00B94D71" w:rsidRDefault="00B94D71" w:rsidP="00B94D71">
      <w:pPr>
        <w:jc w:val="both"/>
        <w:rPr>
          <w:rFonts w:ascii="Tahoma" w:hAnsi="Tahoma" w:cs="Tahoma"/>
        </w:rPr>
      </w:pPr>
    </w:p>
    <w:p w14:paraId="655E9AC0" w14:textId="73891DA0" w:rsidR="00723F77" w:rsidRDefault="00723F77" w:rsidP="00041E45">
      <w:pPr>
        <w:jc w:val="both"/>
        <w:rPr>
          <w:rFonts w:ascii="Tahoma" w:hAnsi="Tahoma" w:cs="Tahoma"/>
        </w:rPr>
      </w:pPr>
    </w:p>
    <w:p w14:paraId="6E428007" w14:textId="083684F5" w:rsidR="00EE6B93" w:rsidRDefault="00EE6B93" w:rsidP="00041E45">
      <w:pPr>
        <w:jc w:val="both"/>
        <w:rPr>
          <w:rFonts w:ascii="Tahoma" w:hAnsi="Tahoma" w:cs="Tahoma"/>
        </w:rPr>
      </w:pPr>
    </w:p>
    <w:p w14:paraId="2E975A96" w14:textId="77777777" w:rsidR="00EE6B93" w:rsidRDefault="00EE6B93" w:rsidP="00041E45">
      <w:pPr>
        <w:jc w:val="both"/>
        <w:rPr>
          <w:rFonts w:ascii="Tahoma" w:hAnsi="Tahoma" w:cs="Tahoma"/>
        </w:rPr>
      </w:pPr>
    </w:p>
    <w:p w14:paraId="01260563" w14:textId="4380D793" w:rsidR="00E3727C" w:rsidRPr="00EE6B93" w:rsidRDefault="00EE6B93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  <w:r>
        <w:rPr>
          <w:rFonts w:ascii="Tahoma" w:hAnsi="Tahoma" w:cs="Tahoma"/>
        </w:rPr>
        <w:t xml:space="preserve">                                                                      </w:t>
      </w:r>
      <w:r w:rsidRPr="00EE6B93">
        <w:rPr>
          <w:rFonts w:ascii="Tahoma" w:hAnsi="Tahoma" w:cs="Tahoma"/>
          <w:b/>
          <w:bCs/>
          <w:sz w:val="28"/>
          <w:szCs w:val="28"/>
          <w:u w:val="single"/>
        </w:rPr>
        <w:t>ATTAL JEAN-LUC</w:t>
      </w:r>
    </w:p>
    <w:p w14:paraId="7ECBFD62" w14:textId="4026536A" w:rsidR="00723F77" w:rsidRDefault="00723F77" w:rsidP="00041E45">
      <w:pPr>
        <w:jc w:val="both"/>
        <w:rPr>
          <w:rFonts w:ascii="Tahoma" w:hAnsi="Tahoma" w:cs="Tahoma"/>
        </w:rPr>
      </w:pPr>
    </w:p>
    <w:p w14:paraId="195ADAF5" w14:textId="4D8EAD7D" w:rsidR="00EE6B93" w:rsidRDefault="00EE6B93" w:rsidP="00041E45">
      <w:pPr>
        <w:jc w:val="both"/>
        <w:rPr>
          <w:rFonts w:ascii="Tahoma" w:hAnsi="Tahoma" w:cs="Tahoma"/>
        </w:rPr>
      </w:pPr>
    </w:p>
    <w:p w14:paraId="75A26EFF" w14:textId="77777777" w:rsidR="00EE6B93" w:rsidRDefault="00EE6B93" w:rsidP="00041E45">
      <w:pPr>
        <w:jc w:val="both"/>
        <w:rPr>
          <w:rFonts w:ascii="Tahoma" w:hAnsi="Tahoma" w:cs="Tahoma"/>
        </w:rPr>
      </w:pPr>
    </w:p>
    <w:p w14:paraId="22FFB91E" w14:textId="77777777" w:rsidR="00723F77" w:rsidRPr="00723F77" w:rsidRDefault="00467005" w:rsidP="00723F77">
      <w:pPr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>
        <w:rPr>
          <w:rFonts w:ascii="Tahoma" w:hAnsi="Tahoma" w:cs="Tahoma"/>
        </w:rPr>
        <w:t xml:space="preserve"> </w:t>
      </w:r>
      <w:r w:rsidR="00723F77" w:rsidRPr="00723F77">
        <w:rPr>
          <w:rFonts w:ascii="Arial" w:eastAsia="Calibri" w:hAnsi="Arial" w:cs="Arial"/>
          <w:b/>
          <w:i/>
          <w:color w:val="993366"/>
          <w:sz w:val="24"/>
          <w:szCs w:val="24"/>
          <w:lang w:eastAsia="fr-FR"/>
        </w:rPr>
        <w:t>TS (mauve)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 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sur les 9 dernières périodes</w:t>
      </w:r>
    </w:p>
    <w:p w14:paraId="476D8B5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5087617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4B322C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008000"/>
          <w:sz w:val="24"/>
          <w:szCs w:val="24"/>
          <w:lang w:eastAsia="fr-FR"/>
        </w:rPr>
        <w:t>KS (vert)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sur les 26 dernières périodes</w:t>
      </w:r>
    </w:p>
    <w:p w14:paraId="1749A1CE" w14:textId="2AA954BF" w:rsid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3D24FC8E" w14:textId="77777777" w:rsidR="00E3727C" w:rsidRPr="00723F77" w:rsidRDefault="00E3727C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D1253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FF6600"/>
          <w:sz w:val="24"/>
          <w:szCs w:val="24"/>
          <w:lang w:eastAsia="fr-FR"/>
        </w:rPr>
        <w:t>LS (orange)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clôture                                           décalée de 26 périodes en arrière</w:t>
      </w:r>
    </w:p>
    <w:p w14:paraId="388C9BF9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5486A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SSA (bordure du nuage) =  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TS + KS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projetée 26 périodes en avant</w:t>
      </w:r>
    </w:p>
    <w:p w14:paraId="463A431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2</w:t>
      </w:r>
    </w:p>
    <w:p w14:paraId="442D7A8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FC2D32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SSB (bordure opposée du nuage)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sur les 52 dernières </w:t>
      </w:r>
    </w:p>
    <w:p w14:paraId="102B62E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                       2</w:t>
      </w:r>
    </w:p>
    <w:p w14:paraId="6B7DE25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760830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périodes, projetées 26 périodes en avant</w:t>
      </w:r>
    </w:p>
    <w:p w14:paraId="2C8EE37B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B9B3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F37BD65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Unités de temps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 : </w:t>
      </w:r>
    </w:p>
    <w:p w14:paraId="4869BE0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BAC255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W: weekly</w:t>
      </w:r>
    </w:p>
    <w:p w14:paraId="3620DAF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57DDCB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D: daily</w:t>
      </w:r>
    </w:p>
    <w:p w14:paraId="6889839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8B192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H4: base 4 heures  </w:t>
      </w:r>
    </w:p>
    <w:p w14:paraId="395064A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C31335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H1 : base horaire</w:t>
      </w:r>
    </w:p>
    <w:p w14:paraId="668BECB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1062831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30M : base 30 minutes</w:t>
      </w:r>
    </w:p>
    <w:p w14:paraId="04409A4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03B719" w14:textId="3D6A3070" w:rsidR="00467005" w:rsidRPr="00467005" w:rsidRDefault="00467005" w:rsidP="00041E45">
      <w:pPr>
        <w:jc w:val="both"/>
        <w:rPr>
          <w:rFonts w:ascii="Tahoma" w:hAnsi="Tahoma" w:cs="Tahoma"/>
        </w:rPr>
      </w:pPr>
    </w:p>
    <w:sectPr w:rsidR="00467005" w:rsidRPr="004670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AB8"/>
    <w:rsid w:val="0002580A"/>
    <w:rsid w:val="00041E45"/>
    <w:rsid w:val="000524C5"/>
    <w:rsid w:val="000556C3"/>
    <w:rsid w:val="000833FB"/>
    <w:rsid w:val="00092058"/>
    <w:rsid w:val="000938CC"/>
    <w:rsid w:val="000B221E"/>
    <w:rsid w:val="000B7DFC"/>
    <w:rsid w:val="000C0DE4"/>
    <w:rsid w:val="000D4ED3"/>
    <w:rsid w:val="001018AD"/>
    <w:rsid w:val="00103ED4"/>
    <w:rsid w:val="00105B4E"/>
    <w:rsid w:val="00134AFA"/>
    <w:rsid w:val="00135766"/>
    <w:rsid w:val="0014687D"/>
    <w:rsid w:val="0015581D"/>
    <w:rsid w:val="00163C46"/>
    <w:rsid w:val="001705F4"/>
    <w:rsid w:val="00190995"/>
    <w:rsid w:val="001A4796"/>
    <w:rsid w:val="001D3D1E"/>
    <w:rsid w:val="001D474B"/>
    <w:rsid w:val="001F650A"/>
    <w:rsid w:val="002003AD"/>
    <w:rsid w:val="002421FE"/>
    <w:rsid w:val="00262E25"/>
    <w:rsid w:val="00263ED0"/>
    <w:rsid w:val="002A1F8E"/>
    <w:rsid w:val="002B5CB1"/>
    <w:rsid w:val="002C0A31"/>
    <w:rsid w:val="002F54B0"/>
    <w:rsid w:val="00303214"/>
    <w:rsid w:val="0030643B"/>
    <w:rsid w:val="00337611"/>
    <w:rsid w:val="00340FD9"/>
    <w:rsid w:val="00352DD9"/>
    <w:rsid w:val="003767E0"/>
    <w:rsid w:val="00397D3D"/>
    <w:rsid w:val="003A609B"/>
    <w:rsid w:val="003F6C87"/>
    <w:rsid w:val="0040171B"/>
    <w:rsid w:val="00467005"/>
    <w:rsid w:val="004A2D2D"/>
    <w:rsid w:val="004A4090"/>
    <w:rsid w:val="004A5154"/>
    <w:rsid w:val="004F48EE"/>
    <w:rsid w:val="00531928"/>
    <w:rsid w:val="005440A4"/>
    <w:rsid w:val="00546A5A"/>
    <w:rsid w:val="00551B4C"/>
    <w:rsid w:val="00566580"/>
    <w:rsid w:val="00567AF3"/>
    <w:rsid w:val="00583BC8"/>
    <w:rsid w:val="005F0F87"/>
    <w:rsid w:val="006311F5"/>
    <w:rsid w:val="00654380"/>
    <w:rsid w:val="00661C0E"/>
    <w:rsid w:val="0066413C"/>
    <w:rsid w:val="00664BE1"/>
    <w:rsid w:val="00665F61"/>
    <w:rsid w:val="006B055C"/>
    <w:rsid w:val="006E32BB"/>
    <w:rsid w:val="006E38E0"/>
    <w:rsid w:val="00710599"/>
    <w:rsid w:val="00723F77"/>
    <w:rsid w:val="00744696"/>
    <w:rsid w:val="0075421A"/>
    <w:rsid w:val="00772067"/>
    <w:rsid w:val="0077545D"/>
    <w:rsid w:val="007A0A4B"/>
    <w:rsid w:val="007A0E6C"/>
    <w:rsid w:val="007B1237"/>
    <w:rsid w:val="007B661D"/>
    <w:rsid w:val="007D19FF"/>
    <w:rsid w:val="007D2085"/>
    <w:rsid w:val="007D4181"/>
    <w:rsid w:val="0083454A"/>
    <w:rsid w:val="00837B38"/>
    <w:rsid w:val="00896554"/>
    <w:rsid w:val="008A7407"/>
    <w:rsid w:val="008F10C2"/>
    <w:rsid w:val="00902D2F"/>
    <w:rsid w:val="00961FDF"/>
    <w:rsid w:val="00983B7D"/>
    <w:rsid w:val="009A37C2"/>
    <w:rsid w:val="009B54DD"/>
    <w:rsid w:val="009F3AB8"/>
    <w:rsid w:val="00A11606"/>
    <w:rsid w:val="00A6401C"/>
    <w:rsid w:val="00A81AB7"/>
    <w:rsid w:val="00AA522C"/>
    <w:rsid w:val="00AE7F3B"/>
    <w:rsid w:val="00B34260"/>
    <w:rsid w:val="00B41C02"/>
    <w:rsid w:val="00B4335A"/>
    <w:rsid w:val="00B50E38"/>
    <w:rsid w:val="00B554B8"/>
    <w:rsid w:val="00B64EE0"/>
    <w:rsid w:val="00B94D71"/>
    <w:rsid w:val="00BB0E32"/>
    <w:rsid w:val="00BB6D9D"/>
    <w:rsid w:val="00BC77A5"/>
    <w:rsid w:val="00BD3FC1"/>
    <w:rsid w:val="00C17ED7"/>
    <w:rsid w:val="00C41F15"/>
    <w:rsid w:val="00C70171"/>
    <w:rsid w:val="00C70A68"/>
    <w:rsid w:val="00C82E98"/>
    <w:rsid w:val="00CB17C9"/>
    <w:rsid w:val="00CC72FF"/>
    <w:rsid w:val="00CC7C21"/>
    <w:rsid w:val="00CE0886"/>
    <w:rsid w:val="00CF2516"/>
    <w:rsid w:val="00CF6D63"/>
    <w:rsid w:val="00D23B28"/>
    <w:rsid w:val="00D46C8D"/>
    <w:rsid w:val="00DA1359"/>
    <w:rsid w:val="00DE5444"/>
    <w:rsid w:val="00DF072F"/>
    <w:rsid w:val="00E32014"/>
    <w:rsid w:val="00E3727C"/>
    <w:rsid w:val="00EB58BA"/>
    <w:rsid w:val="00EE6B93"/>
    <w:rsid w:val="00F04A6E"/>
    <w:rsid w:val="00F04DEF"/>
    <w:rsid w:val="00F31070"/>
    <w:rsid w:val="00F53F10"/>
    <w:rsid w:val="00F54747"/>
    <w:rsid w:val="00F636F8"/>
    <w:rsid w:val="00FA2C8E"/>
    <w:rsid w:val="00FC1860"/>
    <w:rsid w:val="00FC7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5EB49"/>
  <w15:chartTrackingRefBased/>
  <w15:docId w15:val="{8D958F43-A15C-4150-B920-BE8741EFE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148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1309F-AB94-4C63-8650-B80168C5A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855</TotalTime>
  <Pages>3</Pages>
  <Words>412</Words>
  <Characters>2268</Characters>
  <Application>Microsoft Office Word</Application>
  <DocSecurity>0</DocSecurity>
  <Lines>18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106</cp:revision>
  <dcterms:created xsi:type="dcterms:W3CDTF">2021-11-25T09:44:00Z</dcterms:created>
  <dcterms:modified xsi:type="dcterms:W3CDTF">2023-03-12T14:05:00Z</dcterms:modified>
</cp:coreProperties>
</file>