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40E1CFE8" w:rsidR="00902D2F" w:rsidRDefault="00D04314" w:rsidP="00B41C02">
      <w:pPr>
        <w:jc w:val="both"/>
        <w:rPr>
          <w:rFonts w:ascii="Tahoma" w:hAnsi="Tahoma" w:cs="Tahoma"/>
        </w:rPr>
      </w:pPr>
      <w:r>
        <w:rPr>
          <w:noProof/>
        </w:rPr>
        <w:drawing>
          <wp:inline distT="0" distB="0" distL="0" distR="0" wp14:anchorId="34D8862F" wp14:editId="127FA5D0">
            <wp:extent cx="6126175" cy="3549112"/>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31720" cy="3552325"/>
                    </a:xfrm>
                    <a:prstGeom prst="rect">
                      <a:avLst/>
                    </a:prstGeom>
                    <a:noFill/>
                    <a:ln>
                      <a:noFill/>
                    </a:ln>
                  </pic:spPr>
                </pic:pic>
              </a:graphicData>
            </a:graphic>
          </wp:inline>
        </w:drawing>
      </w:r>
    </w:p>
    <w:p w14:paraId="7AC4D2D2" w14:textId="7E873C03" w:rsidR="00DF072F" w:rsidRDefault="00041E45" w:rsidP="00B41C02">
      <w:pPr>
        <w:jc w:val="both"/>
        <w:rPr>
          <w:rFonts w:ascii="Tahoma" w:hAnsi="Tahoma" w:cs="Tahoma"/>
        </w:rPr>
      </w:pPr>
      <w:r>
        <w:rPr>
          <w:rFonts w:ascii="Tahoma" w:hAnsi="Tahoma" w:cs="Tahoma"/>
        </w:rPr>
        <w:t>L</w:t>
      </w:r>
      <w:r w:rsidR="00D04314">
        <w:rPr>
          <w:rFonts w:ascii="Tahoma" w:hAnsi="Tahoma" w:cs="Tahoma"/>
        </w:rPr>
        <w:t xml:space="preserve">es chandelles de type doji indiquent généralement l’indécision et la dernière bougie hebdomadaire colle tout à fait avec le climat actuel d’incertitude </w:t>
      </w:r>
      <w:r w:rsidR="00272113">
        <w:rPr>
          <w:rFonts w:ascii="Tahoma" w:hAnsi="Tahoma" w:cs="Tahoma"/>
        </w:rPr>
        <w:t>où inflation et risque bancaire ont fortement perturbé la vision du marché des investisseurs.</w:t>
      </w:r>
    </w:p>
    <w:p w14:paraId="3D984653" w14:textId="10102D03" w:rsidR="00D6127B" w:rsidRDefault="00163214" w:rsidP="00B41C02">
      <w:pPr>
        <w:jc w:val="both"/>
        <w:rPr>
          <w:rFonts w:ascii="Tahoma" w:hAnsi="Tahoma" w:cs="Tahoma"/>
        </w:rPr>
      </w:pPr>
      <w:r>
        <w:rPr>
          <w:rFonts w:ascii="Tahoma" w:hAnsi="Tahoma" w:cs="Tahoma"/>
        </w:rPr>
        <w:t xml:space="preserve">Ainsi le « Fly to quality » </w:t>
      </w:r>
      <w:r w:rsidR="00BB3A2B">
        <w:rPr>
          <w:rFonts w:ascii="Tahoma" w:hAnsi="Tahoma" w:cs="Tahoma"/>
        </w:rPr>
        <w:t xml:space="preserve">a permis le maintien du contrat Bund à un niveau relativement élevé dans un environnement de hausse </w:t>
      </w:r>
      <w:r w:rsidR="00E15555">
        <w:rPr>
          <w:rFonts w:ascii="Tahoma" w:hAnsi="Tahoma" w:cs="Tahoma"/>
        </w:rPr>
        <w:t>continue des taux banque centrale.</w:t>
      </w:r>
    </w:p>
    <w:p w14:paraId="579B73A7" w14:textId="25164A02" w:rsidR="00D6127B" w:rsidRDefault="00273E47" w:rsidP="00B41C02">
      <w:pPr>
        <w:jc w:val="both"/>
        <w:rPr>
          <w:rFonts w:ascii="Tahoma" w:hAnsi="Tahoma" w:cs="Tahoma"/>
        </w:rPr>
      </w:pPr>
      <w:r>
        <w:rPr>
          <w:rFonts w:ascii="Tahoma" w:hAnsi="Tahoma" w:cs="Tahoma"/>
        </w:rPr>
        <w:t xml:space="preserve">La structure directionnelle de ce doji donne un </w:t>
      </w:r>
      <w:r w:rsidR="00D101B8">
        <w:rPr>
          <w:rFonts w:ascii="Tahoma" w:hAnsi="Tahoma" w:cs="Tahoma"/>
        </w:rPr>
        <w:t>léger</w:t>
      </w:r>
      <w:r>
        <w:rPr>
          <w:rFonts w:ascii="Tahoma" w:hAnsi="Tahoma" w:cs="Tahoma"/>
        </w:rPr>
        <w:t xml:space="preserve"> avantage à la hausse. Mais dans cet environnement fortement </w:t>
      </w:r>
      <w:r w:rsidR="00D101B8">
        <w:rPr>
          <w:rFonts w:ascii="Tahoma" w:hAnsi="Tahoma" w:cs="Tahoma"/>
        </w:rPr>
        <w:t>empreint</w:t>
      </w:r>
      <w:r>
        <w:rPr>
          <w:rFonts w:ascii="Tahoma" w:hAnsi="Tahoma" w:cs="Tahoma"/>
        </w:rPr>
        <w:t xml:space="preserve"> d’incertitude, </w:t>
      </w:r>
      <w:r w:rsidR="00D6127B">
        <w:rPr>
          <w:rFonts w:ascii="Tahoma" w:hAnsi="Tahoma" w:cs="Tahoma"/>
        </w:rPr>
        <w:t>je m’</w:t>
      </w:r>
      <w:r w:rsidR="00D101B8">
        <w:rPr>
          <w:rFonts w:ascii="Tahoma" w:hAnsi="Tahoma" w:cs="Tahoma"/>
        </w:rPr>
        <w:t>intéresserai</w:t>
      </w:r>
      <w:r w:rsidR="00D6127B">
        <w:rPr>
          <w:rFonts w:ascii="Tahoma" w:hAnsi="Tahoma" w:cs="Tahoma"/>
        </w:rPr>
        <w:t xml:space="preserve"> à la position des prix par rapport au plat</w:t>
      </w:r>
      <w:r>
        <w:rPr>
          <w:rFonts w:ascii="Tahoma" w:hAnsi="Tahoma" w:cs="Tahoma"/>
        </w:rPr>
        <w:t xml:space="preserve"> de</w:t>
      </w:r>
      <w:r w:rsidR="00D6127B">
        <w:rPr>
          <w:rFonts w:ascii="Tahoma" w:hAnsi="Tahoma" w:cs="Tahoma"/>
        </w:rPr>
        <w:t xml:space="preserve"> TS et </w:t>
      </w:r>
      <w:r>
        <w:rPr>
          <w:rFonts w:ascii="Tahoma" w:hAnsi="Tahoma" w:cs="Tahoma"/>
        </w:rPr>
        <w:t xml:space="preserve">de </w:t>
      </w:r>
      <w:r w:rsidR="00D6127B">
        <w:rPr>
          <w:rFonts w:ascii="Tahoma" w:hAnsi="Tahoma" w:cs="Tahoma"/>
        </w:rPr>
        <w:t>KS</w:t>
      </w:r>
      <w:r>
        <w:rPr>
          <w:rFonts w:ascii="Tahoma" w:hAnsi="Tahoma" w:cs="Tahoma"/>
        </w:rPr>
        <w:t>, proche l’une de l’autre</w:t>
      </w:r>
      <w:r w:rsidR="00B571E7">
        <w:rPr>
          <w:rFonts w:ascii="Tahoma" w:hAnsi="Tahoma" w:cs="Tahoma"/>
        </w:rPr>
        <w:t>,</w:t>
      </w:r>
      <w:r w:rsidR="00630D1D">
        <w:rPr>
          <w:rFonts w:ascii="Tahoma" w:hAnsi="Tahoma" w:cs="Tahoma"/>
        </w:rPr>
        <w:t xml:space="preserve"> pour </w:t>
      </w:r>
      <w:r w:rsidR="00D101B8">
        <w:rPr>
          <w:rFonts w:ascii="Tahoma" w:hAnsi="Tahoma" w:cs="Tahoma"/>
        </w:rPr>
        <w:t>déterminer</w:t>
      </w:r>
      <w:r w:rsidR="00630D1D">
        <w:rPr>
          <w:rFonts w:ascii="Tahoma" w:hAnsi="Tahoma" w:cs="Tahoma"/>
        </w:rPr>
        <w:t xml:space="preserve"> le niveau de stress du marché.</w:t>
      </w:r>
    </w:p>
    <w:p w14:paraId="22210067" w14:textId="15071EDE" w:rsidR="003A78F6" w:rsidRDefault="00CB25A7" w:rsidP="00B41C02">
      <w:pPr>
        <w:jc w:val="both"/>
        <w:rPr>
          <w:rFonts w:ascii="Tahoma" w:hAnsi="Tahoma" w:cs="Tahoma"/>
        </w:rPr>
      </w:pPr>
      <w:r>
        <w:rPr>
          <w:rFonts w:ascii="Tahoma" w:hAnsi="Tahoma" w:cs="Tahoma"/>
        </w:rPr>
        <w:t>Sous respectivement 140.30 et 141.84, l</w:t>
      </w:r>
      <w:r w:rsidR="003A78F6">
        <w:rPr>
          <w:rFonts w:ascii="Tahoma" w:hAnsi="Tahoma" w:cs="Tahoma"/>
        </w:rPr>
        <w:t>a TS poursuivra son plat sur 135.33 et la KS en fera de même sur 136.10.</w:t>
      </w:r>
      <w:r>
        <w:rPr>
          <w:rFonts w:ascii="Tahoma" w:hAnsi="Tahoma" w:cs="Tahoma"/>
        </w:rPr>
        <w:t xml:space="preserve"> </w:t>
      </w:r>
      <w:r w:rsidR="001A7475">
        <w:rPr>
          <w:rFonts w:ascii="Tahoma" w:hAnsi="Tahoma" w:cs="Tahoma"/>
        </w:rPr>
        <w:t xml:space="preserve">Et même si ces courbes peuvent évoluer en cassure des points hauts cités, le maintien des prix </w:t>
      </w:r>
      <w:r w:rsidR="00D101B8">
        <w:rPr>
          <w:rFonts w:ascii="Tahoma" w:hAnsi="Tahoma" w:cs="Tahoma"/>
        </w:rPr>
        <w:t>au-dessus</w:t>
      </w:r>
      <w:r w:rsidR="001A7475">
        <w:rPr>
          <w:rFonts w:ascii="Tahoma" w:hAnsi="Tahoma" w:cs="Tahoma"/>
        </w:rPr>
        <w:t xml:space="preserve"> ces courbes indiquera que le stress et le doute </w:t>
      </w:r>
      <w:r w:rsidR="00D101B8">
        <w:rPr>
          <w:rFonts w:ascii="Tahoma" w:hAnsi="Tahoma" w:cs="Tahoma"/>
        </w:rPr>
        <w:t>concernant</w:t>
      </w:r>
      <w:r w:rsidR="001A7475">
        <w:rPr>
          <w:rFonts w:ascii="Tahoma" w:hAnsi="Tahoma" w:cs="Tahoma"/>
        </w:rPr>
        <w:t xml:space="preserve"> le risque bancaire, </w:t>
      </w:r>
      <w:r w:rsidR="000D2C45">
        <w:rPr>
          <w:rFonts w:ascii="Tahoma" w:hAnsi="Tahoma" w:cs="Tahoma"/>
        </w:rPr>
        <w:t>sont toujours présents</w:t>
      </w:r>
      <w:r w:rsidR="001A7475">
        <w:rPr>
          <w:rFonts w:ascii="Tahoma" w:hAnsi="Tahoma" w:cs="Tahoma"/>
        </w:rPr>
        <w:t>.</w:t>
      </w:r>
    </w:p>
    <w:p w14:paraId="10BB9766" w14:textId="4608DCDA" w:rsidR="00723F77" w:rsidRDefault="004F415A" w:rsidP="00041E45">
      <w:pPr>
        <w:jc w:val="both"/>
        <w:rPr>
          <w:rFonts w:ascii="Tahoma" w:hAnsi="Tahoma" w:cs="Tahoma"/>
        </w:rPr>
      </w:pPr>
      <w:r>
        <w:rPr>
          <w:rFonts w:ascii="Tahoma" w:hAnsi="Tahoma" w:cs="Tahoma"/>
        </w:rPr>
        <w:t>Quoi qu’il en soit, la hausse limitée du contrat Bund nous signale que les avis sont partagés, tout comme le montre la dernière bougie journalière de type étoile filante qui nous dit qu</w:t>
      </w:r>
      <w:r w:rsidR="000D2C45">
        <w:rPr>
          <w:rFonts w:ascii="Tahoma" w:hAnsi="Tahoma" w:cs="Tahoma"/>
        </w:rPr>
        <w:t xml:space="preserve">e la </w:t>
      </w:r>
      <w:r>
        <w:rPr>
          <w:rFonts w:ascii="Tahoma" w:hAnsi="Tahoma" w:cs="Tahoma"/>
        </w:rPr>
        <w:t xml:space="preserve">poursuite de la hausse </w:t>
      </w:r>
      <w:r w:rsidR="000D2C45">
        <w:rPr>
          <w:rFonts w:ascii="Tahoma" w:hAnsi="Tahoma" w:cs="Tahoma"/>
        </w:rPr>
        <w:t>n’a</w:t>
      </w:r>
      <w:r>
        <w:rPr>
          <w:rFonts w:ascii="Tahoma" w:hAnsi="Tahoma" w:cs="Tahoma"/>
        </w:rPr>
        <w:t xml:space="preserve"> pas </w:t>
      </w:r>
      <w:r w:rsidR="000D2C45">
        <w:rPr>
          <w:rFonts w:ascii="Tahoma" w:hAnsi="Tahoma" w:cs="Tahoma"/>
        </w:rPr>
        <w:t xml:space="preserve">fait </w:t>
      </w:r>
      <w:r>
        <w:rPr>
          <w:rFonts w:ascii="Tahoma" w:hAnsi="Tahoma" w:cs="Tahoma"/>
        </w:rPr>
        <w:t>l’unanimité.</w:t>
      </w:r>
    </w:p>
    <w:p w14:paraId="2E975A96" w14:textId="5D0D6B30" w:rsidR="00EE6B93" w:rsidRDefault="00B94D71" w:rsidP="00041E45">
      <w:pPr>
        <w:jc w:val="both"/>
        <w:rPr>
          <w:rFonts w:ascii="Tahoma" w:hAnsi="Tahoma" w:cs="Tahoma"/>
        </w:rPr>
      </w:pPr>
      <w:r>
        <w:rPr>
          <w:rFonts w:ascii="Tahoma" w:hAnsi="Tahoma" w:cs="Tahoma"/>
          <w:u w:val="single"/>
        </w:rPr>
        <w:t>CONCLUSION</w:t>
      </w:r>
      <w:r>
        <w:rPr>
          <w:rFonts w:ascii="Tahoma" w:hAnsi="Tahoma" w:cs="Tahoma"/>
        </w:rPr>
        <w:t> :</w:t>
      </w:r>
      <w:r w:rsidR="00261398">
        <w:rPr>
          <w:rFonts w:ascii="Tahoma" w:hAnsi="Tahoma" w:cs="Tahoma"/>
        </w:rPr>
        <w:t xml:space="preserve"> Haussier </w:t>
      </w:r>
      <w:r w:rsidR="00D101B8">
        <w:rPr>
          <w:rFonts w:ascii="Tahoma" w:hAnsi="Tahoma" w:cs="Tahoma"/>
        </w:rPr>
        <w:t>au-dessus</w:t>
      </w:r>
      <w:r w:rsidR="00261398">
        <w:rPr>
          <w:rFonts w:ascii="Tahoma" w:hAnsi="Tahoma" w:cs="Tahoma"/>
        </w:rPr>
        <w:t xml:space="preserve"> de 135.33-136.10, plats respecti</w:t>
      </w:r>
      <w:r w:rsidR="00F33260">
        <w:rPr>
          <w:rFonts w:ascii="Tahoma" w:hAnsi="Tahoma" w:cs="Tahoma"/>
        </w:rPr>
        <w:t>fs</w:t>
      </w:r>
      <w:r w:rsidR="00261398">
        <w:rPr>
          <w:rFonts w:ascii="Tahoma" w:hAnsi="Tahoma" w:cs="Tahoma"/>
        </w:rPr>
        <w:t xml:space="preserve"> de </w:t>
      </w:r>
      <w:r w:rsidR="00F33260">
        <w:rPr>
          <w:rFonts w:ascii="Tahoma" w:hAnsi="Tahoma" w:cs="Tahoma"/>
        </w:rPr>
        <w:t xml:space="preserve">la </w:t>
      </w:r>
      <w:r w:rsidR="00261398">
        <w:rPr>
          <w:rFonts w:ascii="Tahoma" w:hAnsi="Tahoma" w:cs="Tahoma"/>
        </w:rPr>
        <w:t xml:space="preserve">TS et de </w:t>
      </w:r>
      <w:r w:rsidR="00F33260">
        <w:rPr>
          <w:rFonts w:ascii="Tahoma" w:hAnsi="Tahoma" w:cs="Tahoma"/>
        </w:rPr>
        <w:t xml:space="preserve">la </w:t>
      </w:r>
      <w:r w:rsidR="00261398">
        <w:rPr>
          <w:rFonts w:ascii="Tahoma" w:hAnsi="Tahoma" w:cs="Tahoma"/>
        </w:rPr>
        <w:t>K</w:t>
      </w:r>
      <w:r w:rsidR="00F33260">
        <w:rPr>
          <w:rFonts w:ascii="Tahoma" w:hAnsi="Tahoma" w:cs="Tahoma"/>
        </w:rPr>
        <w:t>S.</w:t>
      </w:r>
    </w:p>
    <w:p w14:paraId="66D60207" w14:textId="77777777" w:rsidR="00F33260" w:rsidRDefault="00F33260"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2C45"/>
    <w:rsid w:val="000D4ED3"/>
    <w:rsid w:val="001018AD"/>
    <w:rsid w:val="00103ED4"/>
    <w:rsid w:val="00105B4E"/>
    <w:rsid w:val="00134AFA"/>
    <w:rsid w:val="00135766"/>
    <w:rsid w:val="0014687D"/>
    <w:rsid w:val="0015581D"/>
    <w:rsid w:val="00163214"/>
    <w:rsid w:val="00163C46"/>
    <w:rsid w:val="001705F4"/>
    <w:rsid w:val="00190995"/>
    <w:rsid w:val="001A4796"/>
    <w:rsid w:val="001A7475"/>
    <w:rsid w:val="001D474B"/>
    <w:rsid w:val="001F650A"/>
    <w:rsid w:val="002003AD"/>
    <w:rsid w:val="002421FE"/>
    <w:rsid w:val="00261398"/>
    <w:rsid w:val="00262E25"/>
    <w:rsid w:val="00263ED0"/>
    <w:rsid w:val="00272113"/>
    <w:rsid w:val="00273E47"/>
    <w:rsid w:val="002A1F8E"/>
    <w:rsid w:val="002B5CB1"/>
    <w:rsid w:val="002C0A31"/>
    <w:rsid w:val="002F54B0"/>
    <w:rsid w:val="00303214"/>
    <w:rsid w:val="0030643B"/>
    <w:rsid w:val="00337611"/>
    <w:rsid w:val="00340FD9"/>
    <w:rsid w:val="00352DD9"/>
    <w:rsid w:val="003767E0"/>
    <w:rsid w:val="00397D3D"/>
    <w:rsid w:val="003A78F6"/>
    <w:rsid w:val="0040171B"/>
    <w:rsid w:val="00467005"/>
    <w:rsid w:val="004A2D2D"/>
    <w:rsid w:val="004A5154"/>
    <w:rsid w:val="004F415A"/>
    <w:rsid w:val="004F48EE"/>
    <w:rsid w:val="00531928"/>
    <w:rsid w:val="005440A4"/>
    <w:rsid w:val="00546A5A"/>
    <w:rsid w:val="00566580"/>
    <w:rsid w:val="00567AF3"/>
    <w:rsid w:val="00583BC8"/>
    <w:rsid w:val="00630D1D"/>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166D1"/>
    <w:rsid w:val="0083454A"/>
    <w:rsid w:val="00837B38"/>
    <w:rsid w:val="00896554"/>
    <w:rsid w:val="008A7407"/>
    <w:rsid w:val="008F10C2"/>
    <w:rsid w:val="00902D2F"/>
    <w:rsid w:val="00961FDF"/>
    <w:rsid w:val="00983B7D"/>
    <w:rsid w:val="009A37C2"/>
    <w:rsid w:val="009F3AB8"/>
    <w:rsid w:val="00A11606"/>
    <w:rsid w:val="00A6401C"/>
    <w:rsid w:val="00A81AB7"/>
    <w:rsid w:val="00AA522C"/>
    <w:rsid w:val="00AE7F3B"/>
    <w:rsid w:val="00B34260"/>
    <w:rsid w:val="00B41C02"/>
    <w:rsid w:val="00B4335A"/>
    <w:rsid w:val="00B50E38"/>
    <w:rsid w:val="00B554B8"/>
    <w:rsid w:val="00B571E7"/>
    <w:rsid w:val="00B64EE0"/>
    <w:rsid w:val="00B94D71"/>
    <w:rsid w:val="00BB0E32"/>
    <w:rsid w:val="00BB3A2B"/>
    <w:rsid w:val="00BB6D9D"/>
    <w:rsid w:val="00BC77A5"/>
    <w:rsid w:val="00BD3FC1"/>
    <w:rsid w:val="00C17ED7"/>
    <w:rsid w:val="00C41F15"/>
    <w:rsid w:val="00C70171"/>
    <w:rsid w:val="00C70A68"/>
    <w:rsid w:val="00C82E98"/>
    <w:rsid w:val="00CB17C9"/>
    <w:rsid w:val="00CB25A7"/>
    <w:rsid w:val="00CC72FF"/>
    <w:rsid w:val="00CC7C21"/>
    <w:rsid w:val="00CE0886"/>
    <w:rsid w:val="00CF2516"/>
    <w:rsid w:val="00CF6D63"/>
    <w:rsid w:val="00D04314"/>
    <w:rsid w:val="00D101B8"/>
    <w:rsid w:val="00D23B28"/>
    <w:rsid w:val="00D46C8D"/>
    <w:rsid w:val="00D6127B"/>
    <w:rsid w:val="00DA1359"/>
    <w:rsid w:val="00DE5444"/>
    <w:rsid w:val="00DF072F"/>
    <w:rsid w:val="00E15555"/>
    <w:rsid w:val="00E32014"/>
    <w:rsid w:val="00E3727C"/>
    <w:rsid w:val="00EB58BA"/>
    <w:rsid w:val="00EE6B93"/>
    <w:rsid w:val="00F04A6E"/>
    <w:rsid w:val="00F04DEF"/>
    <w:rsid w:val="00F31070"/>
    <w:rsid w:val="00F3326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2</Pages>
  <Words>349</Words>
  <Characters>1925</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110</cp:revision>
  <dcterms:created xsi:type="dcterms:W3CDTF">2021-11-25T09:44:00Z</dcterms:created>
  <dcterms:modified xsi:type="dcterms:W3CDTF">2023-03-25T15:29:00Z</dcterms:modified>
</cp:coreProperties>
</file>