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6E0AC877" w:rsidR="00902D2F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406C7A2" w14:textId="77777777" w:rsidR="00F90D41" w:rsidRPr="00085651" w:rsidRDefault="00F90D41" w:rsidP="00F90D41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85651">
        <w:rPr>
          <w:rFonts w:ascii="Tahoma" w:hAnsi="Tahoma" w:cs="Tahoma"/>
          <w:sz w:val="32"/>
          <w:szCs w:val="32"/>
          <w:u w:val="single"/>
        </w:rPr>
        <w:t>Month</w:t>
      </w:r>
    </w:p>
    <w:p w14:paraId="7325792D" w14:textId="401DF55B" w:rsidR="00F90D41" w:rsidRDefault="00E52D1C" w:rsidP="00F90D41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4A87676" wp14:editId="04DDB966">
            <wp:extent cx="6683700" cy="3680848"/>
            <wp:effectExtent l="0" t="0" r="317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8024" cy="371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69FB1" w14:textId="5B743E9A" w:rsidR="00F90D41" w:rsidRDefault="00136445" w:rsidP="00F90D4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Après un plus bas au cours du mois de mars sur 3980, l’indice a terminé le mois </w:t>
      </w:r>
      <w:r w:rsidR="002B7C4A">
        <w:rPr>
          <w:rFonts w:ascii="Tahoma" w:hAnsi="Tahoma" w:cs="Tahoma"/>
        </w:rPr>
        <w:t xml:space="preserve">à 4315, </w:t>
      </w:r>
      <w:r>
        <w:rPr>
          <w:rFonts w:ascii="Tahoma" w:hAnsi="Tahoma" w:cs="Tahoma"/>
        </w:rPr>
        <w:t>proche des hauts historiques de 4400.</w:t>
      </w:r>
    </w:p>
    <w:p w14:paraId="3D3FD867" w14:textId="2A61BCF1" w:rsidR="008255AE" w:rsidRDefault="00136445" w:rsidP="00F90D4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l’évolution des cours a dessiné un pendu, ligne qui se classe dans les figures d’indécision. Proche du sommet </w:t>
      </w:r>
      <w:r w:rsidR="007179E0">
        <w:rPr>
          <w:rFonts w:ascii="Tahoma" w:hAnsi="Tahoma" w:cs="Tahoma"/>
        </w:rPr>
        <w:t xml:space="preserve">de 4400, ce pendu prend </w:t>
      </w:r>
      <w:r w:rsidR="008255AE">
        <w:rPr>
          <w:rFonts w:ascii="Tahoma" w:hAnsi="Tahoma" w:cs="Tahoma"/>
        </w:rPr>
        <w:t>plus d’</w:t>
      </w:r>
      <w:r w:rsidR="007179E0">
        <w:rPr>
          <w:rFonts w:ascii="Tahoma" w:hAnsi="Tahoma" w:cs="Tahoma"/>
        </w:rPr>
        <w:t xml:space="preserve">importance. En effet, une </w:t>
      </w:r>
      <w:r w:rsidR="002B7C4A">
        <w:rPr>
          <w:rFonts w:ascii="Tahoma" w:hAnsi="Tahoma" w:cs="Tahoma"/>
        </w:rPr>
        <w:t xml:space="preserve">baisse la </w:t>
      </w:r>
      <w:r w:rsidR="007179E0">
        <w:rPr>
          <w:rFonts w:ascii="Tahoma" w:hAnsi="Tahoma" w:cs="Tahoma"/>
        </w:rPr>
        <w:t xml:space="preserve">semaine </w:t>
      </w:r>
      <w:r w:rsidR="002B7C4A">
        <w:rPr>
          <w:rFonts w:ascii="Tahoma" w:hAnsi="Tahoma" w:cs="Tahoma"/>
        </w:rPr>
        <w:t xml:space="preserve">prochaine </w:t>
      </w:r>
      <w:r w:rsidR="007179E0">
        <w:rPr>
          <w:rFonts w:ascii="Tahoma" w:hAnsi="Tahoma" w:cs="Tahoma"/>
        </w:rPr>
        <w:t>aura pour effet de renforcer l’</w:t>
      </w:r>
      <w:r w:rsidR="0097492B">
        <w:rPr>
          <w:rFonts w:ascii="Tahoma" w:hAnsi="Tahoma" w:cs="Tahoma"/>
        </w:rPr>
        <w:t>inquiétude</w:t>
      </w:r>
      <w:r w:rsidR="007179E0">
        <w:rPr>
          <w:rFonts w:ascii="Tahoma" w:hAnsi="Tahoma" w:cs="Tahoma"/>
        </w:rPr>
        <w:t xml:space="preserve"> des acheteurs et inciter aux prises de profit.</w:t>
      </w:r>
    </w:p>
    <w:p w14:paraId="12E8834E" w14:textId="3F743311" w:rsidR="008255AE" w:rsidRDefault="002B7C4A" w:rsidP="00F90D4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J</w:t>
      </w:r>
      <w:r w:rsidR="007179E0">
        <w:rPr>
          <w:rFonts w:ascii="Tahoma" w:hAnsi="Tahoma" w:cs="Tahoma"/>
        </w:rPr>
        <w:t xml:space="preserve">’évoque cette éventualité car la </w:t>
      </w:r>
      <w:r w:rsidR="0097492B">
        <w:rPr>
          <w:rFonts w:ascii="Tahoma" w:hAnsi="Tahoma" w:cs="Tahoma"/>
        </w:rPr>
        <w:t>clôture</w:t>
      </w:r>
      <w:r w:rsidR="007179E0">
        <w:rPr>
          <w:rFonts w:ascii="Tahoma" w:hAnsi="Tahoma" w:cs="Tahoma"/>
        </w:rPr>
        <w:t xml:space="preserve"> à 4315 est très proche des points hauts. Même si le risque bancaire s’est pour le moment atténué, l’approche des 4400 points pourrait </w:t>
      </w:r>
      <w:r w:rsidR="002E7C10">
        <w:rPr>
          <w:rFonts w:ascii="Tahoma" w:hAnsi="Tahoma" w:cs="Tahoma"/>
        </w:rPr>
        <w:t>déboucher sur des</w:t>
      </w:r>
      <w:r w:rsidR="008255AE">
        <w:rPr>
          <w:rFonts w:ascii="Tahoma" w:hAnsi="Tahoma" w:cs="Tahoma"/>
        </w:rPr>
        <w:t xml:space="preserve"> ventes.</w:t>
      </w:r>
    </w:p>
    <w:p w14:paraId="55F992F8" w14:textId="763DCBD2" w:rsidR="00436B70" w:rsidRDefault="008255AE" w:rsidP="00F90D4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la m</w:t>
      </w:r>
      <w:r w:rsidR="0062113C">
        <w:rPr>
          <w:rFonts w:ascii="Tahoma" w:hAnsi="Tahoma" w:cs="Tahoma"/>
        </w:rPr>
        <w:t xml:space="preserve">èche basse du pendu est une zone d’achat et le dépassement de son point haut annulera </w:t>
      </w:r>
      <w:r w:rsidR="002E7C10">
        <w:rPr>
          <w:rFonts w:ascii="Tahoma" w:hAnsi="Tahoma" w:cs="Tahoma"/>
        </w:rPr>
        <w:t>son impact négatif</w:t>
      </w:r>
      <w:r w:rsidR="0062113C">
        <w:rPr>
          <w:rFonts w:ascii="Tahoma" w:hAnsi="Tahoma" w:cs="Tahoma"/>
        </w:rPr>
        <w:t>.</w:t>
      </w:r>
      <w:r w:rsidR="00436B70">
        <w:rPr>
          <w:rFonts w:ascii="Tahoma" w:hAnsi="Tahoma" w:cs="Tahoma"/>
        </w:rPr>
        <w:t xml:space="preserve"> </w:t>
      </w:r>
    </w:p>
    <w:p w14:paraId="005CBA5F" w14:textId="699DA3C7" w:rsidR="00136445" w:rsidRDefault="00436B70" w:rsidP="00F90D4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pour l’instant, l’</w:t>
      </w:r>
      <w:r w:rsidR="0097492B">
        <w:rPr>
          <w:rFonts w:ascii="Tahoma" w:hAnsi="Tahoma" w:cs="Tahoma"/>
        </w:rPr>
        <w:t>apparition</w:t>
      </w:r>
      <w:r>
        <w:rPr>
          <w:rFonts w:ascii="Tahoma" w:hAnsi="Tahoma" w:cs="Tahoma"/>
        </w:rPr>
        <w:t xml:space="preserve"> du pendu sous une résistance majeure reste une alerte qui ne faut pas prendre à la </w:t>
      </w:r>
      <w:r w:rsidR="0097492B">
        <w:rPr>
          <w:rFonts w:ascii="Tahoma" w:hAnsi="Tahoma" w:cs="Tahoma"/>
        </w:rPr>
        <w:t>légère</w:t>
      </w:r>
      <w:r>
        <w:rPr>
          <w:rFonts w:ascii="Tahoma" w:hAnsi="Tahoma" w:cs="Tahoma"/>
        </w:rPr>
        <w:t>. D’autant plus que les cours se sont fortement éloignés des plats de TS et de KS respectivement de 3787 et 3832. Ces plats traduisent un</w:t>
      </w:r>
      <w:r w:rsidR="002E7C10">
        <w:rPr>
          <w:rFonts w:ascii="Tahoma" w:hAnsi="Tahoma" w:cs="Tahoma"/>
        </w:rPr>
        <w:t>e absence de dynamique de mouvement dans</w:t>
      </w:r>
      <w:r>
        <w:rPr>
          <w:rFonts w:ascii="Tahoma" w:hAnsi="Tahoma" w:cs="Tahoma"/>
        </w:rPr>
        <w:t xml:space="preserve"> environnement  suracheté qui favorisent une correction.</w:t>
      </w:r>
      <w:r w:rsidR="007C4C80">
        <w:rPr>
          <w:rFonts w:ascii="Tahoma" w:hAnsi="Tahoma" w:cs="Tahoma"/>
        </w:rPr>
        <w:t xml:space="preserve"> </w:t>
      </w:r>
      <w:r w:rsidR="007179E0">
        <w:rPr>
          <w:rFonts w:ascii="Tahoma" w:hAnsi="Tahoma" w:cs="Tahoma"/>
        </w:rPr>
        <w:t xml:space="preserve"> </w:t>
      </w:r>
    </w:p>
    <w:p w14:paraId="2EB97677" w14:textId="1C02892D" w:rsidR="00F90D41" w:rsidRDefault="00F90D41" w:rsidP="00B41C02">
      <w:pPr>
        <w:jc w:val="both"/>
        <w:rPr>
          <w:rFonts w:ascii="Tahoma" w:hAnsi="Tahoma" w:cs="Tahoma"/>
          <w:sz w:val="48"/>
          <w:szCs w:val="48"/>
          <w:u w:val="single"/>
        </w:rPr>
      </w:pPr>
    </w:p>
    <w:p w14:paraId="285543F0" w14:textId="5FA0F6E9" w:rsidR="00F90D41" w:rsidRDefault="00F90D41" w:rsidP="00B41C02">
      <w:pPr>
        <w:jc w:val="both"/>
        <w:rPr>
          <w:rFonts w:ascii="Tahoma" w:hAnsi="Tahoma" w:cs="Tahoma"/>
          <w:sz w:val="48"/>
          <w:szCs w:val="48"/>
          <w:u w:val="single"/>
        </w:rPr>
      </w:pPr>
    </w:p>
    <w:p w14:paraId="3D2D3EE2" w14:textId="0BD22FB5" w:rsidR="002E7C10" w:rsidRDefault="002E7C1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</w:p>
    <w:p w14:paraId="197CF0CC" w14:textId="77777777" w:rsidR="002E7C10" w:rsidRDefault="002E7C1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</w:p>
    <w:p w14:paraId="52C5C268" w14:textId="77777777" w:rsidR="00F90D41" w:rsidRPr="00263ED0" w:rsidRDefault="00F90D41" w:rsidP="00B41C02">
      <w:pPr>
        <w:jc w:val="both"/>
        <w:rPr>
          <w:rFonts w:ascii="Tahoma" w:hAnsi="Tahoma" w:cs="Tahoma"/>
          <w:sz w:val="48"/>
          <w:szCs w:val="48"/>
          <w:u w:val="single"/>
        </w:rPr>
      </w:pPr>
    </w:p>
    <w:p w14:paraId="6AF49C8B" w14:textId="45266C05" w:rsidR="00F90D41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5C99FBD2" w:rsidR="00902D2F" w:rsidRDefault="00E52D1C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5B3E213" wp14:editId="63621567">
            <wp:extent cx="6565911" cy="4215539"/>
            <wp:effectExtent l="0" t="0" r="635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532" cy="424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56B7BFFA" w:rsidR="001705F4" w:rsidRDefault="0055738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maintien des prix sous le point médian de la dernière longue bougie noire, j’évoquais la semaine dernière  la formation d’une ligne de poussée qui se classe dans </w:t>
      </w:r>
      <w:r w:rsidR="0097492B">
        <w:rPr>
          <w:rFonts w:ascii="Tahoma" w:hAnsi="Tahoma" w:cs="Tahoma"/>
        </w:rPr>
        <w:t>les structures</w:t>
      </w:r>
      <w:r>
        <w:rPr>
          <w:rFonts w:ascii="Tahoma" w:hAnsi="Tahoma" w:cs="Tahoma"/>
        </w:rPr>
        <w:t xml:space="preserve"> de poursuite de mouvement (ici à la baisse). Le dépassement de </w:t>
      </w:r>
      <w:r w:rsidR="00DD36E4">
        <w:rPr>
          <w:rFonts w:ascii="Tahoma" w:hAnsi="Tahoma" w:cs="Tahoma"/>
        </w:rPr>
        <w:t xml:space="preserve">4146 invalide cette structure ainsi que ma vue de la semaine passée. Il est vrai que les </w:t>
      </w:r>
      <w:r w:rsidR="0097492B">
        <w:rPr>
          <w:rFonts w:ascii="Tahoma" w:hAnsi="Tahoma" w:cs="Tahoma"/>
        </w:rPr>
        <w:t>pénétrantes</w:t>
      </w:r>
      <w:r w:rsidR="00DD36E4">
        <w:rPr>
          <w:rFonts w:ascii="Tahoma" w:hAnsi="Tahoma" w:cs="Tahoma"/>
        </w:rPr>
        <w:t xml:space="preserve"> haussières ou les avalements haussiers prennent souvent plus de temps à se former </w:t>
      </w:r>
      <w:r w:rsidR="002E7C10">
        <w:rPr>
          <w:rFonts w:ascii="Tahoma" w:hAnsi="Tahoma" w:cs="Tahoma"/>
        </w:rPr>
        <w:t xml:space="preserve"> comme </w:t>
      </w:r>
      <w:r w:rsidR="00DD36E4">
        <w:rPr>
          <w:rFonts w:ascii="Tahoma" w:hAnsi="Tahoma" w:cs="Tahoma"/>
        </w:rPr>
        <w:t>c’est le cas ici.</w:t>
      </w:r>
    </w:p>
    <w:p w14:paraId="65B16AE1" w14:textId="20C207DE" w:rsidR="00583BC8" w:rsidRDefault="008A179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je l’évoquais sur le long terme, un dépassement de 4315 relancera la dynamique haussière mais la proximité des hauts de 4400 (</w:t>
      </w:r>
      <w:r w:rsidR="0097492B">
        <w:rPr>
          <w:rFonts w:ascii="Tahoma" w:hAnsi="Tahoma" w:cs="Tahoma"/>
        </w:rPr>
        <w:t>nov.</w:t>
      </w:r>
      <w:r>
        <w:rPr>
          <w:rFonts w:ascii="Tahoma" w:hAnsi="Tahoma" w:cs="Tahoma"/>
        </w:rPr>
        <w:t xml:space="preserve"> 21 et jan 22) incite à la prudence d’autant plus que le plat de TS se prolongera sur 4153 tant que le haut de la semaine ne sera pas cassé.</w:t>
      </w:r>
    </w:p>
    <w:p w14:paraId="217B07C0" w14:textId="55871F94" w:rsidR="008A1795" w:rsidRDefault="00F436C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4400 parait pour le moment une résistance à ne pas négliger. Un dépassement franc sera </w:t>
      </w:r>
      <w:r w:rsidR="0097492B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inciter l’</w:t>
      </w:r>
      <w:r w:rsidR="0097492B">
        <w:rPr>
          <w:rFonts w:ascii="Tahoma" w:hAnsi="Tahoma" w:cs="Tahoma"/>
        </w:rPr>
        <w:t>arrivée</w:t>
      </w:r>
      <w:r>
        <w:rPr>
          <w:rFonts w:ascii="Tahoma" w:hAnsi="Tahoma" w:cs="Tahoma"/>
        </w:rPr>
        <w:t xml:space="preserve"> de nouveaux acheteurs.</w:t>
      </w:r>
    </w:p>
    <w:p w14:paraId="67B8B186" w14:textId="42ECF30A" w:rsidR="00467005" w:rsidRDefault="00F436C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Sous 4315, attention à la formation d’un double top.</w:t>
      </w:r>
      <w:r w:rsidR="002E7C10">
        <w:rPr>
          <w:rFonts w:ascii="Tahoma" w:hAnsi="Tahoma" w:cs="Tahoma"/>
        </w:rPr>
        <w:t xml:space="preserve"> 3980, </w:t>
      </w:r>
      <w:r w:rsidR="005D702B">
        <w:rPr>
          <w:rFonts w:ascii="Tahoma" w:hAnsi="Tahoma" w:cs="Tahoma"/>
        </w:rPr>
        <w:t>support et</w:t>
      </w:r>
      <w:r w:rsidR="00E14905">
        <w:rPr>
          <w:rFonts w:ascii="Tahoma" w:hAnsi="Tahoma" w:cs="Tahoma"/>
        </w:rPr>
        <w:t xml:space="preserve"> ligne de cou</w:t>
      </w:r>
      <w:r w:rsidR="002E7C10">
        <w:rPr>
          <w:rFonts w:ascii="Tahoma" w:hAnsi="Tahoma" w:cs="Tahoma"/>
        </w:rPr>
        <w:t xml:space="preserve"> qui reste pour le moment loin du niveau des prix.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2F565918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8F2984">
        <w:rPr>
          <w:rFonts w:ascii="Tahoma" w:hAnsi="Tahoma" w:cs="Tahoma"/>
        </w:rPr>
        <w:t xml:space="preserve"> </w:t>
      </w:r>
      <w:r w:rsidR="00183B84">
        <w:rPr>
          <w:rFonts w:ascii="Tahoma" w:hAnsi="Tahoma" w:cs="Tahoma"/>
        </w:rPr>
        <w:t>Po</w:t>
      </w:r>
      <w:r w:rsidR="008F2984">
        <w:rPr>
          <w:rFonts w:ascii="Tahoma" w:hAnsi="Tahoma" w:cs="Tahoma"/>
        </w:rPr>
        <w:t xml:space="preserve">ursuite de la hausse </w:t>
      </w:r>
      <w:r w:rsidR="00183B84">
        <w:rPr>
          <w:rFonts w:ascii="Tahoma" w:hAnsi="Tahoma" w:cs="Tahoma"/>
        </w:rPr>
        <w:t>qu’</w:t>
      </w:r>
      <w:r w:rsidR="008F2984">
        <w:rPr>
          <w:rFonts w:ascii="Tahoma" w:hAnsi="Tahoma" w:cs="Tahoma"/>
        </w:rPr>
        <w:t>en cassure 4315. Mais attention à la résistance majeure de 4400 qui pourrait faire refluer les prix.</w:t>
      </w:r>
    </w:p>
    <w:p w14:paraId="1EA4C264" w14:textId="77777777" w:rsidR="00183B84" w:rsidRDefault="00183B84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 w:rsidSect="00E52D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36445"/>
    <w:rsid w:val="0014687D"/>
    <w:rsid w:val="0015581D"/>
    <w:rsid w:val="00163C46"/>
    <w:rsid w:val="001705F4"/>
    <w:rsid w:val="00183B8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B7C4A"/>
    <w:rsid w:val="002C0A31"/>
    <w:rsid w:val="002E7C10"/>
    <w:rsid w:val="002F54B0"/>
    <w:rsid w:val="0030643B"/>
    <w:rsid w:val="00337611"/>
    <w:rsid w:val="00340FD9"/>
    <w:rsid w:val="00352DD9"/>
    <w:rsid w:val="003C2E49"/>
    <w:rsid w:val="0040171B"/>
    <w:rsid w:val="00436B70"/>
    <w:rsid w:val="00467005"/>
    <w:rsid w:val="004A5154"/>
    <w:rsid w:val="00531928"/>
    <w:rsid w:val="005440A4"/>
    <w:rsid w:val="00546A5A"/>
    <w:rsid w:val="00557381"/>
    <w:rsid w:val="00566580"/>
    <w:rsid w:val="00567AF3"/>
    <w:rsid w:val="00583BC8"/>
    <w:rsid w:val="005D702B"/>
    <w:rsid w:val="0062113C"/>
    <w:rsid w:val="00654380"/>
    <w:rsid w:val="006E32BB"/>
    <w:rsid w:val="007179E0"/>
    <w:rsid w:val="00723F77"/>
    <w:rsid w:val="00744696"/>
    <w:rsid w:val="00772067"/>
    <w:rsid w:val="0077545D"/>
    <w:rsid w:val="007A0E6C"/>
    <w:rsid w:val="007B661D"/>
    <w:rsid w:val="007C4C80"/>
    <w:rsid w:val="007D19FF"/>
    <w:rsid w:val="007D2085"/>
    <w:rsid w:val="008255AE"/>
    <w:rsid w:val="0083454A"/>
    <w:rsid w:val="00835AC6"/>
    <w:rsid w:val="00837B38"/>
    <w:rsid w:val="00896554"/>
    <w:rsid w:val="008A1795"/>
    <w:rsid w:val="008A7407"/>
    <w:rsid w:val="008F10C2"/>
    <w:rsid w:val="008F2984"/>
    <w:rsid w:val="00902D2F"/>
    <w:rsid w:val="00961FDF"/>
    <w:rsid w:val="0097492B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62132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D36E4"/>
    <w:rsid w:val="00DE5444"/>
    <w:rsid w:val="00DF072F"/>
    <w:rsid w:val="00E14905"/>
    <w:rsid w:val="00E32014"/>
    <w:rsid w:val="00E52D1C"/>
    <w:rsid w:val="00EB58BA"/>
    <w:rsid w:val="00F04A6E"/>
    <w:rsid w:val="00F04DEF"/>
    <w:rsid w:val="00F31070"/>
    <w:rsid w:val="00F436CD"/>
    <w:rsid w:val="00F53F10"/>
    <w:rsid w:val="00F636F8"/>
    <w:rsid w:val="00F90D41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3</Pages>
  <Words>496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92</cp:revision>
  <dcterms:created xsi:type="dcterms:W3CDTF">2021-11-25T09:44:00Z</dcterms:created>
  <dcterms:modified xsi:type="dcterms:W3CDTF">2023-04-02T15:00:00Z</dcterms:modified>
</cp:coreProperties>
</file>