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A565608" w:rsidR="00902D2F" w:rsidRDefault="00263ED0" w:rsidP="00B41C02">
      <w:pPr>
        <w:jc w:val="both"/>
        <w:rPr>
          <w:rFonts w:ascii="Tahoma" w:hAnsi="Tahoma" w:cs="Tahoma"/>
          <w:sz w:val="48"/>
          <w:szCs w:val="48"/>
          <w:u w:val="single"/>
        </w:rPr>
      </w:pPr>
      <w:r>
        <w:rPr>
          <w:rFonts w:ascii="Tahoma" w:hAnsi="Tahoma" w:cs="Tahoma"/>
        </w:rPr>
        <w:t xml:space="preserve">                                     </w:t>
      </w:r>
      <w:r w:rsidR="00E80AB9">
        <w:rPr>
          <w:rFonts w:ascii="Tahoma" w:hAnsi="Tahoma" w:cs="Tahoma"/>
        </w:rPr>
        <w:t xml:space="preserve">                    </w:t>
      </w: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BCE913A" w14:textId="69C4D708" w:rsidR="00085651" w:rsidRPr="00085651" w:rsidRDefault="00085651" w:rsidP="00B41C02">
      <w:pPr>
        <w:jc w:val="both"/>
        <w:rPr>
          <w:rFonts w:ascii="Tahoma" w:hAnsi="Tahoma" w:cs="Tahoma"/>
          <w:sz w:val="32"/>
          <w:szCs w:val="32"/>
          <w:u w:val="single"/>
        </w:rPr>
      </w:pPr>
      <w:r w:rsidRPr="00085651">
        <w:rPr>
          <w:rFonts w:ascii="Tahoma" w:hAnsi="Tahoma" w:cs="Tahoma"/>
          <w:sz w:val="32"/>
          <w:szCs w:val="32"/>
          <w:u w:val="single"/>
        </w:rPr>
        <w:t>Month</w:t>
      </w:r>
    </w:p>
    <w:p w14:paraId="13606EC7" w14:textId="0578422F" w:rsidR="00085651" w:rsidRDefault="00086956" w:rsidP="00085651">
      <w:pPr>
        <w:jc w:val="both"/>
        <w:rPr>
          <w:rFonts w:ascii="Tahoma" w:hAnsi="Tahoma" w:cs="Tahoma"/>
        </w:rPr>
      </w:pPr>
      <w:r>
        <w:rPr>
          <w:noProof/>
        </w:rPr>
        <w:drawing>
          <wp:inline distT="0" distB="0" distL="0" distR="0" wp14:anchorId="718FAF68" wp14:editId="3236CB86">
            <wp:extent cx="6470542" cy="4857833"/>
            <wp:effectExtent l="0" t="0" r="698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85528" cy="4869084"/>
                    </a:xfrm>
                    <a:prstGeom prst="rect">
                      <a:avLst/>
                    </a:prstGeom>
                    <a:noFill/>
                    <a:ln>
                      <a:noFill/>
                    </a:ln>
                  </pic:spPr>
                </pic:pic>
              </a:graphicData>
            </a:graphic>
          </wp:inline>
        </w:drawing>
      </w:r>
    </w:p>
    <w:p w14:paraId="051CD250" w14:textId="4349637A" w:rsidR="00085651" w:rsidRDefault="00121713" w:rsidP="00085651">
      <w:pPr>
        <w:jc w:val="both"/>
        <w:rPr>
          <w:rFonts w:ascii="Tahoma" w:hAnsi="Tahoma" w:cs="Tahoma"/>
        </w:rPr>
      </w:pPr>
      <w:r>
        <w:rPr>
          <w:rFonts w:ascii="Tahoma" w:hAnsi="Tahoma" w:cs="Tahoma"/>
        </w:rPr>
        <w:t xml:space="preserve">Sur le graphique mensuel, l’alternance de chandelles noires et blanches indique que les intervenants n’ont plus assez de conviction pour définir une tendance. </w:t>
      </w:r>
      <w:r w:rsidR="00941B26">
        <w:rPr>
          <w:rFonts w:ascii="Tahoma" w:hAnsi="Tahoma" w:cs="Tahoma"/>
        </w:rPr>
        <w:t>D’ailleurs, l</w:t>
      </w:r>
      <w:r>
        <w:rPr>
          <w:rFonts w:ascii="Tahoma" w:hAnsi="Tahoma" w:cs="Tahoma"/>
        </w:rPr>
        <w:t>a fusion des trois derniers chandeliers donne un doji qui confirme ce point de vue.</w:t>
      </w:r>
    </w:p>
    <w:p w14:paraId="4876EBFF" w14:textId="4C975095" w:rsidR="00751C86" w:rsidRDefault="00751C86" w:rsidP="00085651">
      <w:pPr>
        <w:jc w:val="both"/>
        <w:rPr>
          <w:rFonts w:ascii="Tahoma" w:hAnsi="Tahoma" w:cs="Tahoma"/>
        </w:rPr>
      </w:pPr>
      <w:r>
        <w:rPr>
          <w:rFonts w:ascii="Tahoma" w:hAnsi="Tahoma" w:cs="Tahoma"/>
        </w:rPr>
        <w:t xml:space="preserve">La taille relativement élevée des mèches de ce doji fusionné renforce le </w:t>
      </w:r>
      <w:r w:rsidR="00E80AB9">
        <w:rPr>
          <w:rFonts w:ascii="Tahoma" w:hAnsi="Tahoma" w:cs="Tahoma"/>
        </w:rPr>
        <w:t>caractère</w:t>
      </w:r>
      <w:r>
        <w:rPr>
          <w:rFonts w:ascii="Tahoma" w:hAnsi="Tahoma" w:cs="Tahoma"/>
        </w:rPr>
        <w:t xml:space="preserve"> d’incertitude et d’indécision de cette figure. Les investisseurs sont pris entre inflation et hausse des taux banques centrales et crise bancaire avec un </w:t>
      </w:r>
      <w:r w:rsidR="00E80AB9">
        <w:rPr>
          <w:rFonts w:ascii="Tahoma" w:hAnsi="Tahoma" w:cs="Tahoma"/>
        </w:rPr>
        <w:t>arrêt</w:t>
      </w:r>
      <w:r>
        <w:rPr>
          <w:rFonts w:ascii="Tahoma" w:hAnsi="Tahoma" w:cs="Tahoma"/>
        </w:rPr>
        <w:t xml:space="preserve"> de la hausse des taux directeurs.</w:t>
      </w:r>
    </w:p>
    <w:p w14:paraId="2B6B5268" w14:textId="1E85DF7D" w:rsidR="00751C86" w:rsidRDefault="00751C86" w:rsidP="00085651">
      <w:pPr>
        <w:jc w:val="both"/>
        <w:rPr>
          <w:rFonts w:ascii="Tahoma" w:hAnsi="Tahoma" w:cs="Tahoma"/>
        </w:rPr>
      </w:pPr>
      <w:r>
        <w:rPr>
          <w:rFonts w:ascii="Tahoma" w:hAnsi="Tahoma" w:cs="Tahoma"/>
        </w:rPr>
        <w:t>Techniquement, la zone des 132.17, représentant un plat de TS passé</w:t>
      </w:r>
      <w:r w:rsidR="00941B26">
        <w:rPr>
          <w:rFonts w:ascii="Tahoma" w:hAnsi="Tahoma" w:cs="Tahoma"/>
        </w:rPr>
        <w:t>e,</w:t>
      </w:r>
      <w:r>
        <w:rPr>
          <w:rFonts w:ascii="Tahoma" w:hAnsi="Tahoma" w:cs="Tahoma"/>
        </w:rPr>
        <w:t xml:space="preserve"> défini un support. Ouvertures et </w:t>
      </w:r>
      <w:r w:rsidR="00E80AB9">
        <w:rPr>
          <w:rFonts w:ascii="Tahoma" w:hAnsi="Tahoma" w:cs="Tahoma"/>
        </w:rPr>
        <w:t>clôtures</w:t>
      </w:r>
      <w:r>
        <w:rPr>
          <w:rFonts w:ascii="Tahoma" w:hAnsi="Tahoma" w:cs="Tahoma"/>
        </w:rPr>
        <w:t xml:space="preserve"> des dernières chandelles ont eu lieu dans cette zone. Ce support est </w:t>
      </w:r>
      <w:r w:rsidR="004C16D0">
        <w:rPr>
          <w:rFonts w:ascii="Tahoma" w:hAnsi="Tahoma" w:cs="Tahoma"/>
        </w:rPr>
        <w:t>ainsi</w:t>
      </w:r>
      <w:r>
        <w:rPr>
          <w:rFonts w:ascii="Tahoma" w:hAnsi="Tahoma" w:cs="Tahoma"/>
        </w:rPr>
        <w:t xml:space="preserve"> renforcé par une hésitation de la part des investisseurs à mener le contrat Bund plus bas. </w:t>
      </w:r>
    </w:p>
    <w:p w14:paraId="74B321A4" w14:textId="311E1020" w:rsidR="00D7638C" w:rsidRDefault="00D7638C" w:rsidP="00085651">
      <w:pPr>
        <w:jc w:val="both"/>
        <w:rPr>
          <w:rFonts w:ascii="Tahoma" w:hAnsi="Tahoma" w:cs="Tahoma"/>
        </w:rPr>
      </w:pPr>
      <w:r>
        <w:rPr>
          <w:rFonts w:ascii="Tahoma" w:hAnsi="Tahoma" w:cs="Tahoma"/>
        </w:rPr>
        <w:t xml:space="preserve">Dans ce contexte, une cassure et un maintien des prix sous 132.17 sera la condition </w:t>
      </w:r>
      <w:r w:rsidR="00E80AB9">
        <w:rPr>
          <w:rFonts w:ascii="Tahoma" w:hAnsi="Tahoma" w:cs="Tahoma"/>
        </w:rPr>
        <w:t>nécessaire</w:t>
      </w:r>
      <w:r>
        <w:rPr>
          <w:rFonts w:ascii="Tahoma" w:hAnsi="Tahoma" w:cs="Tahoma"/>
        </w:rPr>
        <w:t xml:space="preserve"> pour envisager une reprise de la </w:t>
      </w:r>
      <w:r w:rsidR="00D07BE2">
        <w:rPr>
          <w:rFonts w:ascii="Tahoma" w:hAnsi="Tahoma" w:cs="Tahoma"/>
        </w:rPr>
        <w:t>tendance baissière.</w:t>
      </w:r>
    </w:p>
    <w:p w14:paraId="2E39640A" w14:textId="51CFABF5" w:rsidR="00D07BE2" w:rsidRDefault="00B37A60" w:rsidP="00085651">
      <w:pPr>
        <w:jc w:val="both"/>
        <w:rPr>
          <w:rFonts w:ascii="Tahoma" w:hAnsi="Tahoma" w:cs="Tahoma"/>
        </w:rPr>
      </w:pPr>
      <w:r>
        <w:rPr>
          <w:rFonts w:ascii="Tahoma" w:hAnsi="Tahoma" w:cs="Tahoma"/>
        </w:rPr>
        <w:t xml:space="preserve">Quoi qu’il en soit, la dernière longue chandelle noire (T-4) continuera à avoir un impact négatif sur les prix tant que le marché ne parviendra pas à l’annuler </w:t>
      </w:r>
      <w:r w:rsidR="004C16D0">
        <w:rPr>
          <w:rFonts w:ascii="Tahoma" w:hAnsi="Tahoma" w:cs="Tahoma"/>
        </w:rPr>
        <w:t>par un</w:t>
      </w:r>
      <w:r>
        <w:rPr>
          <w:rFonts w:ascii="Tahoma" w:hAnsi="Tahoma" w:cs="Tahoma"/>
        </w:rPr>
        <w:t xml:space="preserve"> dépassement de 140.32.</w:t>
      </w:r>
    </w:p>
    <w:p w14:paraId="7BBE4050" w14:textId="1A915AFF" w:rsidR="00085651" w:rsidRDefault="00085651" w:rsidP="00B41C02">
      <w:pPr>
        <w:jc w:val="both"/>
        <w:rPr>
          <w:rFonts w:ascii="Tahoma" w:hAnsi="Tahoma" w:cs="Tahoma"/>
          <w:sz w:val="48"/>
          <w:szCs w:val="48"/>
          <w:u w:val="single"/>
        </w:rPr>
      </w:pPr>
    </w:p>
    <w:p w14:paraId="555C9704" w14:textId="77777777" w:rsidR="0021374C" w:rsidRPr="00263ED0" w:rsidRDefault="0021374C" w:rsidP="00B41C02">
      <w:pPr>
        <w:jc w:val="both"/>
        <w:rPr>
          <w:rFonts w:ascii="Tahoma" w:hAnsi="Tahoma" w:cs="Tahoma"/>
          <w:sz w:val="48"/>
          <w:szCs w:val="48"/>
          <w:u w:val="single"/>
        </w:rPr>
      </w:pP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lastRenderedPageBreak/>
        <w:t>Week</w:t>
      </w:r>
    </w:p>
    <w:p w14:paraId="2862B446" w14:textId="2B2EB74D" w:rsidR="00902D2F" w:rsidRDefault="00C31179" w:rsidP="00B41C02">
      <w:pPr>
        <w:jc w:val="both"/>
        <w:rPr>
          <w:rFonts w:ascii="Tahoma" w:hAnsi="Tahoma" w:cs="Tahoma"/>
        </w:rPr>
      </w:pPr>
      <w:r>
        <w:rPr>
          <w:noProof/>
        </w:rPr>
        <w:drawing>
          <wp:inline distT="0" distB="0" distL="0" distR="0" wp14:anchorId="503F5300" wp14:editId="07FA8DD3">
            <wp:extent cx="6594529" cy="4950985"/>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04219" cy="495826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885911D" w:rsidR="00DF072F" w:rsidRDefault="00041E45" w:rsidP="00B41C02">
      <w:pPr>
        <w:jc w:val="both"/>
        <w:rPr>
          <w:rFonts w:ascii="Tahoma" w:hAnsi="Tahoma" w:cs="Tahoma"/>
        </w:rPr>
      </w:pPr>
      <w:bookmarkStart w:id="0" w:name="_Hlk131267964"/>
      <w:r>
        <w:rPr>
          <w:rFonts w:ascii="Tahoma" w:hAnsi="Tahoma" w:cs="Tahoma"/>
        </w:rPr>
        <w:t>L</w:t>
      </w:r>
      <w:r w:rsidR="00417D0F">
        <w:rPr>
          <w:rFonts w:ascii="Tahoma" w:hAnsi="Tahoma" w:cs="Tahoma"/>
        </w:rPr>
        <w:t xml:space="preserve">e rapport de force a basculé la semaine dernière après la formation d’un doji étoile. Cette semaine, la baisse des prix nous confirme cette bascule. </w:t>
      </w:r>
      <w:r w:rsidR="0066490E">
        <w:rPr>
          <w:rFonts w:ascii="Tahoma" w:hAnsi="Tahoma" w:cs="Tahoma"/>
        </w:rPr>
        <w:t xml:space="preserve">Mais pour le moment, les vendeurs ne dominent pas totalement </w:t>
      </w:r>
      <w:r w:rsidR="00CE11C2">
        <w:rPr>
          <w:rFonts w:ascii="Tahoma" w:hAnsi="Tahoma" w:cs="Tahoma"/>
        </w:rPr>
        <w:t>les échanges</w:t>
      </w:r>
      <w:r w:rsidR="0066490E">
        <w:rPr>
          <w:rFonts w:ascii="Tahoma" w:hAnsi="Tahoma" w:cs="Tahoma"/>
        </w:rPr>
        <w:t>. Comme je le mentionnais sur le Monthly, il existe encore trop d’inconnues pour avoir un marché de conviction.</w:t>
      </w:r>
    </w:p>
    <w:p w14:paraId="112AF137" w14:textId="44C74C47" w:rsidR="0066490E" w:rsidRDefault="0066490E" w:rsidP="00B41C02">
      <w:pPr>
        <w:jc w:val="both"/>
        <w:rPr>
          <w:rFonts w:ascii="Tahoma" w:hAnsi="Tahoma" w:cs="Tahoma"/>
        </w:rPr>
      </w:pPr>
      <w:r>
        <w:rPr>
          <w:rFonts w:ascii="Tahoma" w:hAnsi="Tahoma" w:cs="Tahoma"/>
        </w:rPr>
        <w:t>Les baissiers doivent continuer leur action et revenir encore plus sur le corps vrai de la dernière longue chandelle blanche (T-3)</w:t>
      </w:r>
      <w:r w:rsidR="00423B18">
        <w:rPr>
          <w:rFonts w:ascii="Tahoma" w:hAnsi="Tahoma" w:cs="Tahoma"/>
        </w:rPr>
        <w:t xml:space="preserve"> </w:t>
      </w:r>
      <w:r w:rsidR="00E61338">
        <w:rPr>
          <w:rFonts w:ascii="Tahoma" w:hAnsi="Tahoma" w:cs="Tahoma"/>
        </w:rPr>
        <w:t>pour</w:t>
      </w:r>
      <w:r w:rsidR="00423B18">
        <w:rPr>
          <w:rFonts w:ascii="Tahoma" w:hAnsi="Tahoma" w:cs="Tahoma"/>
        </w:rPr>
        <w:t xml:space="preserve"> envisager une domination des vendeurs.</w:t>
      </w:r>
    </w:p>
    <w:p w14:paraId="153582C4" w14:textId="1C8DA9B4" w:rsidR="00423B18" w:rsidRDefault="0051305A" w:rsidP="00B41C02">
      <w:pPr>
        <w:jc w:val="both"/>
        <w:rPr>
          <w:rFonts w:ascii="Tahoma" w:hAnsi="Tahoma" w:cs="Tahoma"/>
        </w:rPr>
      </w:pPr>
      <w:r>
        <w:rPr>
          <w:rFonts w:ascii="Tahoma" w:hAnsi="Tahoma" w:cs="Tahoma"/>
        </w:rPr>
        <w:t xml:space="preserve">Sur cette unité de temps, TS et KS sont plates. Le stress du risque bancaire a positionné le contrat Bund </w:t>
      </w:r>
      <w:r w:rsidR="00E80AB9">
        <w:rPr>
          <w:rFonts w:ascii="Tahoma" w:hAnsi="Tahoma" w:cs="Tahoma"/>
        </w:rPr>
        <w:t>au-dessus</w:t>
      </w:r>
      <w:r>
        <w:rPr>
          <w:rFonts w:ascii="Tahoma" w:hAnsi="Tahoma" w:cs="Tahoma"/>
        </w:rPr>
        <w:t xml:space="preserve"> de ces courbes, respectivement </w:t>
      </w:r>
      <w:r w:rsidR="00E61338">
        <w:rPr>
          <w:rFonts w:ascii="Tahoma" w:hAnsi="Tahoma" w:cs="Tahoma"/>
        </w:rPr>
        <w:t xml:space="preserve">de </w:t>
      </w:r>
      <w:r>
        <w:rPr>
          <w:rFonts w:ascii="Tahoma" w:hAnsi="Tahoma" w:cs="Tahoma"/>
        </w:rPr>
        <w:t xml:space="preserve">135.33 et 136.10, dans un mouvement de </w:t>
      </w:r>
      <w:r w:rsidR="00E61338">
        <w:rPr>
          <w:rFonts w:ascii="Tahoma" w:hAnsi="Tahoma" w:cs="Tahoma"/>
        </w:rPr>
        <w:t>« </w:t>
      </w:r>
      <w:r>
        <w:rPr>
          <w:rFonts w:ascii="Tahoma" w:hAnsi="Tahoma" w:cs="Tahoma"/>
        </w:rPr>
        <w:t>Fly to quality</w:t>
      </w:r>
      <w:r w:rsidR="00E61338">
        <w:rPr>
          <w:rFonts w:ascii="Tahoma" w:hAnsi="Tahoma" w:cs="Tahoma"/>
        </w:rPr>
        <w:t> »</w:t>
      </w:r>
      <w:r>
        <w:rPr>
          <w:rFonts w:ascii="Tahoma" w:hAnsi="Tahoma" w:cs="Tahoma"/>
        </w:rPr>
        <w:t xml:space="preserve">. Une baisse des prix sous la zone pivot de 135.33-136.10 </w:t>
      </w:r>
      <w:r w:rsidR="00E61338">
        <w:rPr>
          <w:rFonts w:ascii="Tahoma" w:hAnsi="Tahoma" w:cs="Tahoma"/>
        </w:rPr>
        <w:t>résultera de</w:t>
      </w:r>
      <w:r>
        <w:rPr>
          <w:rFonts w:ascii="Tahoma" w:hAnsi="Tahoma" w:cs="Tahoma"/>
        </w:rPr>
        <w:t xml:space="preserve"> l’atténuation des craintes systémiques. </w:t>
      </w:r>
    </w:p>
    <w:p w14:paraId="6F7412EA" w14:textId="0B3D182E" w:rsidR="0051305A" w:rsidRDefault="0051305A" w:rsidP="00B41C02">
      <w:pPr>
        <w:jc w:val="both"/>
        <w:rPr>
          <w:rFonts w:ascii="Tahoma" w:hAnsi="Tahoma" w:cs="Tahoma"/>
        </w:rPr>
      </w:pPr>
      <w:r>
        <w:rPr>
          <w:rFonts w:ascii="Tahoma" w:hAnsi="Tahoma" w:cs="Tahoma"/>
        </w:rPr>
        <w:t>Quoi qu’il en soit, le long terme défini une zone support autour de 132.17. La baisse des prix peut se prolonger mais une reprise de la tendance baissière ne sera évoquée qu’en cassure définitive de ce support</w:t>
      </w:r>
    </w:p>
    <w:bookmarkEnd w:id="0"/>
    <w:p w14:paraId="10BB9766" w14:textId="77777777" w:rsidR="00723F77" w:rsidRDefault="00723F77" w:rsidP="00041E45">
      <w:pPr>
        <w:jc w:val="both"/>
        <w:rPr>
          <w:rFonts w:ascii="Tahoma" w:hAnsi="Tahoma" w:cs="Tahoma"/>
        </w:rPr>
      </w:pPr>
    </w:p>
    <w:p w14:paraId="258EB8FF" w14:textId="57F43098"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248B2">
        <w:rPr>
          <w:rFonts w:ascii="Tahoma" w:hAnsi="Tahoma" w:cs="Tahoma"/>
        </w:rPr>
        <w:t xml:space="preserve"> Pas de baisse envisagée </w:t>
      </w:r>
      <w:r w:rsidR="0048109B">
        <w:rPr>
          <w:rFonts w:ascii="Tahoma" w:hAnsi="Tahoma" w:cs="Tahoma"/>
        </w:rPr>
        <w:t>sans rupture définitive du</w:t>
      </w:r>
      <w:r w:rsidR="004248B2">
        <w:rPr>
          <w:rFonts w:ascii="Tahoma" w:hAnsi="Tahoma" w:cs="Tahoma"/>
        </w:rPr>
        <w:t xml:space="preserve"> support de 132.17</w:t>
      </w:r>
      <w:r w:rsidR="0048109B">
        <w:rPr>
          <w:rFonts w:ascii="Tahoma" w:hAnsi="Tahoma" w:cs="Tahoma"/>
        </w:rPr>
        <w:t>.</w:t>
      </w: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7134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85651"/>
    <w:rsid w:val="00086956"/>
    <w:rsid w:val="00092058"/>
    <w:rsid w:val="000938CC"/>
    <w:rsid w:val="000B221E"/>
    <w:rsid w:val="000B7DFC"/>
    <w:rsid w:val="000C0DE4"/>
    <w:rsid w:val="000D4ED3"/>
    <w:rsid w:val="001018AD"/>
    <w:rsid w:val="00103ED4"/>
    <w:rsid w:val="00105B4E"/>
    <w:rsid w:val="00121713"/>
    <w:rsid w:val="00134AFA"/>
    <w:rsid w:val="00135766"/>
    <w:rsid w:val="0014687D"/>
    <w:rsid w:val="0015581D"/>
    <w:rsid w:val="00163C46"/>
    <w:rsid w:val="001705F4"/>
    <w:rsid w:val="00190995"/>
    <w:rsid w:val="001A4796"/>
    <w:rsid w:val="001D474B"/>
    <w:rsid w:val="001F650A"/>
    <w:rsid w:val="002003AD"/>
    <w:rsid w:val="0021374C"/>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17D0F"/>
    <w:rsid w:val="00423B18"/>
    <w:rsid w:val="004248B2"/>
    <w:rsid w:val="00467005"/>
    <w:rsid w:val="0048109B"/>
    <w:rsid w:val="004A2D2D"/>
    <w:rsid w:val="004A5154"/>
    <w:rsid w:val="004C16D0"/>
    <w:rsid w:val="004F48EE"/>
    <w:rsid w:val="0051305A"/>
    <w:rsid w:val="00531928"/>
    <w:rsid w:val="005440A4"/>
    <w:rsid w:val="00546A5A"/>
    <w:rsid w:val="00566580"/>
    <w:rsid w:val="00567AF3"/>
    <w:rsid w:val="00583BC8"/>
    <w:rsid w:val="005A78EE"/>
    <w:rsid w:val="00654380"/>
    <w:rsid w:val="0066490E"/>
    <w:rsid w:val="00664BE1"/>
    <w:rsid w:val="006B055C"/>
    <w:rsid w:val="006E32BB"/>
    <w:rsid w:val="006E38E0"/>
    <w:rsid w:val="00710599"/>
    <w:rsid w:val="0071345E"/>
    <w:rsid w:val="00723F77"/>
    <w:rsid w:val="00744696"/>
    <w:rsid w:val="00751C86"/>
    <w:rsid w:val="00772067"/>
    <w:rsid w:val="0077545D"/>
    <w:rsid w:val="007A0A4B"/>
    <w:rsid w:val="007A0E6C"/>
    <w:rsid w:val="007B1237"/>
    <w:rsid w:val="007B661D"/>
    <w:rsid w:val="007D19FF"/>
    <w:rsid w:val="007D2085"/>
    <w:rsid w:val="007D4181"/>
    <w:rsid w:val="0083202B"/>
    <w:rsid w:val="0083454A"/>
    <w:rsid w:val="00837B38"/>
    <w:rsid w:val="00896554"/>
    <w:rsid w:val="008A7407"/>
    <w:rsid w:val="008F10C2"/>
    <w:rsid w:val="00902D2F"/>
    <w:rsid w:val="00941B26"/>
    <w:rsid w:val="00961FDF"/>
    <w:rsid w:val="00983B7D"/>
    <w:rsid w:val="009A37C2"/>
    <w:rsid w:val="009F3AB8"/>
    <w:rsid w:val="00A11606"/>
    <w:rsid w:val="00A6401C"/>
    <w:rsid w:val="00A81AB7"/>
    <w:rsid w:val="00AA522C"/>
    <w:rsid w:val="00AE7F3B"/>
    <w:rsid w:val="00B34260"/>
    <w:rsid w:val="00B37A60"/>
    <w:rsid w:val="00B41C02"/>
    <w:rsid w:val="00B4335A"/>
    <w:rsid w:val="00B50E38"/>
    <w:rsid w:val="00B554B8"/>
    <w:rsid w:val="00B64EE0"/>
    <w:rsid w:val="00B94D71"/>
    <w:rsid w:val="00BB0E32"/>
    <w:rsid w:val="00BB6D9D"/>
    <w:rsid w:val="00BC77A5"/>
    <w:rsid w:val="00BD3FC1"/>
    <w:rsid w:val="00C17ED7"/>
    <w:rsid w:val="00C31179"/>
    <w:rsid w:val="00C41F15"/>
    <w:rsid w:val="00C70171"/>
    <w:rsid w:val="00C70A68"/>
    <w:rsid w:val="00C82E98"/>
    <w:rsid w:val="00CB17C9"/>
    <w:rsid w:val="00CC72FF"/>
    <w:rsid w:val="00CC7C21"/>
    <w:rsid w:val="00CE0886"/>
    <w:rsid w:val="00CE11C2"/>
    <w:rsid w:val="00CF2516"/>
    <w:rsid w:val="00CF6D63"/>
    <w:rsid w:val="00D07BE2"/>
    <w:rsid w:val="00D23B28"/>
    <w:rsid w:val="00D46C8D"/>
    <w:rsid w:val="00D7638C"/>
    <w:rsid w:val="00DA1359"/>
    <w:rsid w:val="00DE5444"/>
    <w:rsid w:val="00DF072F"/>
    <w:rsid w:val="00E32014"/>
    <w:rsid w:val="00E3727C"/>
    <w:rsid w:val="00E61338"/>
    <w:rsid w:val="00E80AB9"/>
    <w:rsid w:val="00EB58BA"/>
    <w:rsid w:val="00EE6B93"/>
    <w:rsid w:val="00F02F6B"/>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3</Pages>
  <Words>497</Words>
  <Characters>2736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124</cp:revision>
  <dcterms:created xsi:type="dcterms:W3CDTF">2021-11-25T09:44:00Z</dcterms:created>
  <dcterms:modified xsi:type="dcterms:W3CDTF">2023-04-02T14:44:00Z</dcterms:modified>
</cp:coreProperties>
</file>