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0BC725A" w:rsidR="00902D2F" w:rsidRDefault="00A04F80" w:rsidP="00B41C02">
      <w:pPr>
        <w:jc w:val="both"/>
        <w:rPr>
          <w:rFonts w:ascii="Tahoma" w:hAnsi="Tahoma" w:cs="Tahoma"/>
        </w:rPr>
      </w:pPr>
      <w:r>
        <w:rPr>
          <w:noProof/>
        </w:rPr>
        <w:drawing>
          <wp:inline distT="0" distB="0" distL="0" distR="0" wp14:anchorId="3B3C8FB7" wp14:editId="2B40AA67">
            <wp:extent cx="5760720" cy="432498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4985"/>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56DB3A27" w:rsidR="00DF072F"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1A4796">
        <w:rPr>
          <w:rFonts w:ascii="Tahoma" w:hAnsi="Tahoma" w:cs="Tahoma"/>
        </w:rPr>
        <w:t>a</w:t>
      </w:r>
      <w:r w:rsidR="00A04F80">
        <w:rPr>
          <w:rFonts w:ascii="Tahoma" w:hAnsi="Tahoma" w:cs="Tahoma"/>
        </w:rPr>
        <w:t xml:space="preserve"> dernière chandelle blanche ne permet pas d’avantager la</w:t>
      </w:r>
      <w:r w:rsidR="001B2992">
        <w:rPr>
          <w:rFonts w:ascii="Tahoma" w:hAnsi="Tahoma" w:cs="Tahoma"/>
        </w:rPr>
        <w:t xml:space="preserve"> poursuite de la</w:t>
      </w:r>
      <w:r w:rsidR="00A04F80">
        <w:rPr>
          <w:rFonts w:ascii="Tahoma" w:hAnsi="Tahoma" w:cs="Tahoma"/>
        </w:rPr>
        <w:t xml:space="preserve"> hausse des prix. Elle corrige simplement la baisse de la semaine précédente et sa taille ne traduit pas une forte conviction acheteuse. D’ailleurs, la fusion de cette dernière bougie avec la précédente donne un doji prolonge l’incertitude et doute de la semaine du </w:t>
      </w:r>
      <w:r w:rsidR="00CE1BB9">
        <w:rPr>
          <w:rFonts w:ascii="Tahoma" w:hAnsi="Tahoma" w:cs="Tahoma"/>
        </w:rPr>
        <w:t>20 mars (T-3).</w:t>
      </w:r>
    </w:p>
    <w:p w14:paraId="780FCFCB" w14:textId="4C2FB8D6" w:rsidR="00CE1BB9" w:rsidRDefault="00A93761" w:rsidP="00B41C02">
      <w:pPr>
        <w:jc w:val="both"/>
        <w:rPr>
          <w:rFonts w:ascii="Tahoma" w:hAnsi="Tahoma" w:cs="Tahoma"/>
        </w:rPr>
      </w:pPr>
      <w:r>
        <w:rPr>
          <w:rFonts w:ascii="Tahoma" w:hAnsi="Tahoma" w:cs="Tahoma"/>
        </w:rPr>
        <w:t>Comme je l’évoquais les semaines précédentes, la position des prix par rapport au</w:t>
      </w:r>
      <w:r w:rsidR="001B2992">
        <w:rPr>
          <w:rFonts w:ascii="Tahoma" w:hAnsi="Tahoma" w:cs="Tahoma"/>
        </w:rPr>
        <w:t>x</w:t>
      </w:r>
      <w:r>
        <w:rPr>
          <w:rFonts w:ascii="Tahoma" w:hAnsi="Tahoma" w:cs="Tahoma"/>
        </w:rPr>
        <w:t xml:space="preserve"> plat</w:t>
      </w:r>
      <w:r w:rsidR="001B2992">
        <w:rPr>
          <w:rFonts w:ascii="Tahoma" w:hAnsi="Tahoma" w:cs="Tahoma"/>
        </w:rPr>
        <w:t>s</w:t>
      </w:r>
      <w:r>
        <w:rPr>
          <w:rFonts w:ascii="Tahoma" w:hAnsi="Tahoma" w:cs="Tahoma"/>
        </w:rPr>
        <w:t xml:space="preserve"> de TS et de KS, respectivement 135.33 et 136.10 permet de jauger le niveau d’optimisme des intervenant</w:t>
      </w:r>
      <w:r w:rsidR="001B2992">
        <w:rPr>
          <w:rFonts w:ascii="Tahoma" w:hAnsi="Tahoma" w:cs="Tahoma"/>
        </w:rPr>
        <w:t>s</w:t>
      </w:r>
      <w:r>
        <w:rPr>
          <w:rFonts w:ascii="Tahoma" w:hAnsi="Tahoma" w:cs="Tahoma"/>
        </w:rPr>
        <w:t xml:space="preserve">. </w:t>
      </w:r>
      <w:r w:rsidR="00F44931">
        <w:rPr>
          <w:rFonts w:ascii="Tahoma" w:hAnsi="Tahoma" w:cs="Tahoma"/>
        </w:rPr>
        <w:t>Au-dessus</w:t>
      </w:r>
      <w:r>
        <w:rPr>
          <w:rFonts w:ascii="Tahoma" w:hAnsi="Tahoma" w:cs="Tahoma"/>
        </w:rPr>
        <w:t xml:space="preserve"> de ces courbes, on peut penser que le marché a </w:t>
      </w:r>
      <w:r w:rsidR="00F44931">
        <w:rPr>
          <w:rFonts w:ascii="Tahoma" w:hAnsi="Tahoma" w:cs="Tahoma"/>
        </w:rPr>
        <w:t>évacué</w:t>
      </w:r>
      <w:r>
        <w:rPr>
          <w:rFonts w:ascii="Tahoma" w:hAnsi="Tahoma" w:cs="Tahoma"/>
        </w:rPr>
        <w:t xml:space="preserve"> un</w:t>
      </w:r>
      <w:r w:rsidR="00FF5B11">
        <w:rPr>
          <w:rFonts w:ascii="Tahoma" w:hAnsi="Tahoma" w:cs="Tahoma"/>
        </w:rPr>
        <w:t>e partie du stress lié à la hausse des taux directeurs et au risque bancaire.</w:t>
      </w:r>
    </w:p>
    <w:p w14:paraId="2F45A9A9" w14:textId="7D21181C" w:rsidR="00FF5B11" w:rsidRDefault="00FF5B11" w:rsidP="00B41C02">
      <w:pPr>
        <w:jc w:val="both"/>
        <w:rPr>
          <w:rFonts w:ascii="Tahoma" w:hAnsi="Tahoma" w:cs="Tahoma"/>
        </w:rPr>
      </w:pPr>
      <w:r>
        <w:rPr>
          <w:rFonts w:ascii="Tahoma" w:hAnsi="Tahoma" w:cs="Tahoma"/>
        </w:rPr>
        <w:t xml:space="preserve">Mais </w:t>
      </w:r>
      <w:r w:rsidR="00F44931">
        <w:rPr>
          <w:rFonts w:ascii="Tahoma" w:hAnsi="Tahoma" w:cs="Tahoma"/>
        </w:rPr>
        <w:t>au-dessus</w:t>
      </w:r>
      <w:r>
        <w:rPr>
          <w:rFonts w:ascii="Tahoma" w:hAnsi="Tahoma" w:cs="Tahoma"/>
        </w:rPr>
        <w:t xml:space="preserve"> de cette zone de 135.33-136.10, les prix continueront d’évoluer dans un environnement baissier de moyen terme,</w:t>
      </w:r>
      <w:r w:rsidR="001B2992">
        <w:rPr>
          <w:rFonts w:ascii="Tahoma" w:hAnsi="Tahoma" w:cs="Tahoma"/>
        </w:rPr>
        <w:t xml:space="preserve"> et cela</w:t>
      </w:r>
      <w:r>
        <w:rPr>
          <w:rFonts w:ascii="Tahoma" w:hAnsi="Tahoma" w:cs="Tahoma"/>
        </w:rPr>
        <w:t xml:space="preserve"> tant que le nuage ne sera pas invalidé par un dépassement. </w:t>
      </w:r>
    </w:p>
    <w:p w14:paraId="56C9A006" w14:textId="2D6F656B" w:rsidR="004230E5" w:rsidRDefault="004230E5" w:rsidP="00B41C02">
      <w:pPr>
        <w:jc w:val="both"/>
        <w:rPr>
          <w:rFonts w:ascii="Tahoma" w:hAnsi="Tahoma" w:cs="Tahoma"/>
        </w:rPr>
      </w:pPr>
      <w:r>
        <w:rPr>
          <w:rFonts w:ascii="Tahoma" w:hAnsi="Tahoma" w:cs="Tahoma"/>
        </w:rPr>
        <w:t xml:space="preserve">Pour ce qui est du court terme, l’analyse graphique nous apporte </w:t>
      </w:r>
      <w:r w:rsidR="001B2992">
        <w:rPr>
          <w:rFonts w:ascii="Tahoma" w:hAnsi="Tahoma" w:cs="Tahoma"/>
        </w:rPr>
        <w:t>un peu plus de</w:t>
      </w:r>
      <w:r>
        <w:rPr>
          <w:rFonts w:ascii="Tahoma" w:hAnsi="Tahoma" w:cs="Tahoma"/>
        </w:rPr>
        <w:t xml:space="preserve"> précision.</w:t>
      </w:r>
    </w:p>
    <w:p w14:paraId="374D1F17" w14:textId="15B92629" w:rsidR="00583BC8" w:rsidRDefault="00583BC8" w:rsidP="00B41C02">
      <w:pPr>
        <w:jc w:val="both"/>
        <w:rPr>
          <w:rFonts w:ascii="Tahoma" w:hAnsi="Tahoma" w:cs="Tahoma"/>
        </w:rPr>
      </w:pPr>
    </w:p>
    <w:p w14:paraId="7AF9AE3C" w14:textId="77777777" w:rsidR="008A22AB" w:rsidRDefault="008A22AB"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4EB724DD" w:rsidR="00583BC8" w:rsidRDefault="00A04F80" w:rsidP="00B41C02">
      <w:pPr>
        <w:jc w:val="both"/>
        <w:rPr>
          <w:rFonts w:ascii="Tahoma" w:hAnsi="Tahoma" w:cs="Tahoma"/>
        </w:rPr>
      </w:pPr>
      <w:r>
        <w:rPr>
          <w:noProof/>
        </w:rPr>
        <w:drawing>
          <wp:inline distT="0" distB="0" distL="0" distR="0" wp14:anchorId="1538AD71" wp14:editId="3A502C2C">
            <wp:extent cx="5760720" cy="432498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4985"/>
                    </a:xfrm>
                    <a:prstGeom prst="rect">
                      <a:avLst/>
                    </a:prstGeom>
                    <a:noFill/>
                    <a:ln>
                      <a:noFill/>
                    </a:ln>
                  </pic:spPr>
                </pic:pic>
              </a:graphicData>
            </a:graphic>
          </wp:inline>
        </w:drawing>
      </w:r>
    </w:p>
    <w:p w14:paraId="67B8B186" w14:textId="1CF13BDC" w:rsidR="00467005" w:rsidRDefault="004230E5" w:rsidP="00041E45">
      <w:pPr>
        <w:jc w:val="both"/>
        <w:rPr>
          <w:rFonts w:ascii="Tahoma" w:hAnsi="Tahoma" w:cs="Tahoma"/>
        </w:rPr>
      </w:pPr>
      <w:r>
        <w:rPr>
          <w:rFonts w:ascii="Tahoma" w:hAnsi="Tahoma" w:cs="Tahoma"/>
        </w:rPr>
        <w:t xml:space="preserve">Sur cette unité de temps le contrat évolue </w:t>
      </w:r>
      <w:r w:rsidR="00F44931">
        <w:rPr>
          <w:rFonts w:ascii="Tahoma" w:hAnsi="Tahoma" w:cs="Tahoma"/>
        </w:rPr>
        <w:t>au-dessus</w:t>
      </w:r>
      <w:r>
        <w:rPr>
          <w:rFonts w:ascii="Tahoma" w:hAnsi="Tahoma" w:cs="Tahoma"/>
        </w:rPr>
        <w:t xml:space="preserve"> d’une oblique haussière depuis son point bas de mars. Mais après plusieurs tentatives de dépassement de la zone des 140.00, les cours ont reflué. </w:t>
      </w:r>
      <w:r w:rsidR="008A22AB">
        <w:rPr>
          <w:rFonts w:ascii="Tahoma" w:hAnsi="Tahoma" w:cs="Tahoma"/>
        </w:rPr>
        <w:t>Ainsi, l</w:t>
      </w:r>
      <w:r>
        <w:rPr>
          <w:rFonts w:ascii="Tahoma" w:hAnsi="Tahoma" w:cs="Tahoma"/>
        </w:rPr>
        <w:t>’action des prix place le contrat dans un triangle descendant.</w:t>
      </w:r>
    </w:p>
    <w:p w14:paraId="28C137FE" w14:textId="60075E4A" w:rsidR="004230E5" w:rsidRDefault="004230E5" w:rsidP="00041E45">
      <w:pPr>
        <w:jc w:val="both"/>
        <w:rPr>
          <w:rFonts w:ascii="Tahoma" w:hAnsi="Tahoma" w:cs="Tahoma"/>
        </w:rPr>
      </w:pPr>
      <w:r>
        <w:rPr>
          <w:rFonts w:ascii="Tahoma" w:hAnsi="Tahoma" w:cs="Tahoma"/>
        </w:rPr>
        <w:t xml:space="preserve">Les triangles sont des figures graphiques de consolidation. Le triangle descendant donne un </w:t>
      </w:r>
      <w:r w:rsidR="00F44931">
        <w:rPr>
          <w:rFonts w:ascii="Tahoma" w:hAnsi="Tahoma" w:cs="Tahoma"/>
        </w:rPr>
        <w:t>léger</w:t>
      </w:r>
      <w:r>
        <w:rPr>
          <w:rFonts w:ascii="Tahoma" w:hAnsi="Tahoma" w:cs="Tahoma"/>
        </w:rPr>
        <w:t xml:space="preserve"> avantage</w:t>
      </w:r>
      <w:r w:rsidR="008A22AB">
        <w:rPr>
          <w:rFonts w:ascii="Tahoma" w:hAnsi="Tahoma" w:cs="Tahoma"/>
        </w:rPr>
        <w:t xml:space="preserve"> coté</w:t>
      </w:r>
      <w:r>
        <w:rPr>
          <w:rFonts w:ascii="Tahoma" w:hAnsi="Tahoma" w:cs="Tahoma"/>
        </w:rPr>
        <w:t xml:space="preserve"> vendeurs. En effet, comme nous pouvons le constat</w:t>
      </w:r>
      <w:r w:rsidR="008A22AB">
        <w:rPr>
          <w:rFonts w:ascii="Tahoma" w:hAnsi="Tahoma" w:cs="Tahoma"/>
        </w:rPr>
        <w:t xml:space="preserve">er </w:t>
      </w:r>
      <w:r>
        <w:rPr>
          <w:rFonts w:ascii="Tahoma" w:hAnsi="Tahoma" w:cs="Tahoma"/>
        </w:rPr>
        <w:t xml:space="preserve">sur cette figure, les vendeurs agissent après rebond sans attendre le haut précédent. Cela montre </w:t>
      </w:r>
      <w:r w:rsidR="008A22AB">
        <w:rPr>
          <w:rFonts w:ascii="Tahoma" w:hAnsi="Tahoma" w:cs="Tahoma"/>
        </w:rPr>
        <w:t>le</w:t>
      </w:r>
      <w:r w:rsidR="00D0430A">
        <w:rPr>
          <w:rFonts w:ascii="Tahoma" w:hAnsi="Tahoma" w:cs="Tahoma"/>
        </w:rPr>
        <w:t xml:space="preserve"> manque de confiance quant à la poursuite de la hausse.</w:t>
      </w:r>
    </w:p>
    <w:p w14:paraId="6B712568" w14:textId="77777777" w:rsidR="009A7FDB" w:rsidRDefault="00206701" w:rsidP="00041E45">
      <w:pPr>
        <w:jc w:val="both"/>
        <w:rPr>
          <w:rFonts w:ascii="Tahoma" w:hAnsi="Tahoma" w:cs="Tahoma"/>
        </w:rPr>
      </w:pPr>
      <w:r>
        <w:rPr>
          <w:rFonts w:ascii="Tahoma" w:hAnsi="Tahoma" w:cs="Tahoma"/>
        </w:rPr>
        <w:t>Pour autant, il reste une alternative à ce triangle qui est l’oblique haussière. Si une baisse des cours prendre forme en début de semaine, le trend haussier devra servir de support</w:t>
      </w:r>
      <w:r w:rsidR="009A7FDB">
        <w:rPr>
          <w:rFonts w:ascii="Tahoma" w:hAnsi="Tahoma" w:cs="Tahoma"/>
        </w:rPr>
        <w:t>.</w:t>
      </w:r>
    </w:p>
    <w:p w14:paraId="3DAF7929" w14:textId="3E052129" w:rsidR="009A7FDB" w:rsidRDefault="009A7FDB" w:rsidP="00041E45">
      <w:pPr>
        <w:jc w:val="both"/>
        <w:rPr>
          <w:rFonts w:ascii="Tahoma" w:hAnsi="Tahoma" w:cs="Tahoma"/>
        </w:rPr>
      </w:pPr>
      <w:r>
        <w:rPr>
          <w:rFonts w:ascii="Tahoma" w:hAnsi="Tahoma" w:cs="Tahoma"/>
        </w:rPr>
        <w:t xml:space="preserve">Oblique </w:t>
      </w:r>
      <w:r w:rsidR="00F44931">
        <w:rPr>
          <w:rFonts w:ascii="Tahoma" w:hAnsi="Tahoma" w:cs="Tahoma"/>
        </w:rPr>
        <w:t>baissière</w:t>
      </w:r>
      <w:r>
        <w:rPr>
          <w:rFonts w:ascii="Tahoma" w:hAnsi="Tahoma" w:cs="Tahoma"/>
        </w:rPr>
        <w:t xml:space="preserve"> du triangle pour la semaine : 137.85-137.30</w:t>
      </w:r>
    </w:p>
    <w:p w14:paraId="76C04FEF" w14:textId="11AFE300" w:rsidR="00D0430A" w:rsidRDefault="009A7FDB" w:rsidP="00041E45">
      <w:pPr>
        <w:jc w:val="both"/>
        <w:rPr>
          <w:rFonts w:ascii="Tahoma" w:hAnsi="Tahoma" w:cs="Tahoma"/>
        </w:rPr>
      </w:pPr>
      <w:r>
        <w:rPr>
          <w:rFonts w:ascii="Tahoma" w:hAnsi="Tahoma" w:cs="Tahoma"/>
        </w:rPr>
        <w:t>Trend haussier pour la semaine : 135.80-136.40</w:t>
      </w:r>
      <w:r w:rsidR="00206701">
        <w:rPr>
          <w:rFonts w:ascii="Tahoma" w:hAnsi="Tahoma" w:cs="Tahoma"/>
        </w:rPr>
        <w:t xml:space="preserve"> </w:t>
      </w:r>
    </w:p>
    <w:p w14:paraId="23A42F46" w14:textId="359ABEF6" w:rsidR="00D16D44" w:rsidRDefault="00D16D44" w:rsidP="00041E45">
      <w:pPr>
        <w:jc w:val="both"/>
        <w:rPr>
          <w:rFonts w:ascii="Tahoma" w:hAnsi="Tahoma" w:cs="Tahoma"/>
        </w:rPr>
      </w:pPr>
      <w:bookmarkStart w:id="0" w:name="_Hlk131782232"/>
      <w:r>
        <w:rPr>
          <w:rFonts w:ascii="Tahoma" w:hAnsi="Tahoma" w:cs="Tahoma"/>
        </w:rPr>
        <w:t>Quoi qu’il en soit, 132.17 restera le point haut dessus duquel la baisse sera exclue de l’analyse.</w:t>
      </w:r>
    </w:p>
    <w:bookmarkEnd w:id="0"/>
    <w:p w14:paraId="10BB9766" w14:textId="77777777" w:rsidR="00723F77" w:rsidRDefault="00723F77" w:rsidP="00041E45">
      <w:pPr>
        <w:jc w:val="both"/>
        <w:rPr>
          <w:rFonts w:ascii="Tahoma" w:hAnsi="Tahoma" w:cs="Tahoma"/>
        </w:rPr>
      </w:pPr>
    </w:p>
    <w:p w14:paraId="2E975A96" w14:textId="35A4789E" w:rsidR="00EE6B93"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D16D44">
        <w:rPr>
          <w:rFonts w:ascii="Tahoma" w:hAnsi="Tahoma" w:cs="Tahoma"/>
        </w:rPr>
        <w:t xml:space="preserve"> 132.17 restera le point haut dessus duquel la baisse sera exclue de l’analyse.</w:t>
      </w:r>
    </w:p>
    <w:p w14:paraId="2AE01F1D" w14:textId="77777777" w:rsidR="008A22AB" w:rsidRDefault="008A22AB" w:rsidP="00041E45">
      <w:pPr>
        <w:jc w:val="both"/>
        <w:rPr>
          <w:rFonts w:ascii="Tahoma" w:hAnsi="Tahoma" w:cs="Tahoma"/>
        </w:rPr>
      </w:pPr>
    </w:p>
    <w:p w14:paraId="75A26EFF" w14:textId="73166B08" w:rsidR="00EE6B93" w:rsidRPr="008A22AB"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lastRenderedPageBreak/>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65934"/>
    <w:rsid w:val="001705F4"/>
    <w:rsid w:val="00190995"/>
    <w:rsid w:val="001A4796"/>
    <w:rsid w:val="001B2992"/>
    <w:rsid w:val="001D474B"/>
    <w:rsid w:val="001F650A"/>
    <w:rsid w:val="002003AD"/>
    <w:rsid w:val="00206701"/>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230E5"/>
    <w:rsid w:val="00467005"/>
    <w:rsid w:val="004A2D2D"/>
    <w:rsid w:val="004A5154"/>
    <w:rsid w:val="004F48EE"/>
    <w:rsid w:val="00531928"/>
    <w:rsid w:val="005440A4"/>
    <w:rsid w:val="00546A5A"/>
    <w:rsid w:val="00566580"/>
    <w:rsid w:val="00567AF3"/>
    <w:rsid w:val="00583BC8"/>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22AB"/>
    <w:rsid w:val="008A7407"/>
    <w:rsid w:val="008F10C2"/>
    <w:rsid w:val="00902D2F"/>
    <w:rsid w:val="00961FDF"/>
    <w:rsid w:val="00983B7D"/>
    <w:rsid w:val="009A37C2"/>
    <w:rsid w:val="009A7FDB"/>
    <w:rsid w:val="009F3AB8"/>
    <w:rsid w:val="00A04F80"/>
    <w:rsid w:val="00A11606"/>
    <w:rsid w:val="00A6401C"/>
    <w:rsid w:val="00A81AB7"/>
    <w:rsid w:val="00A93761"/>
    <w:rsid w:val="00AA522C"/>
    <w:rsid w:val="00AE7F3B"/>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E1BB9"/>
    <w:rsid w:val="00CF2516"/>
    <w:rsid w:val="00CF6D63"/>
    <w:rsid w:val="00D0430A"/>
    <w:rsid w:val="00D16D44"/>
    <w:rsid w:val="00D23B28"/>
    <w:rsid w:val="00D46C8D"/>
    <w:rsid w:val="00DA1359"/>
    <w:rsid w:val="00DE5444"/>
    <w:rsid w:val="00DF072F"/>
    <w:rsid w:val="00E32014"/>
    <w:rsid w:val="00E3727C"/>
    <w:rsid w:val="00EB58BA"/>
    <w:rsid w:val="00EE6B93"/>
    <w:rsid w:val="00F04A6E"/>
    <w:rsid w:val="00F04DEF"/>
    <w:rsid w:val="00F31070"/>
    <w:rsid w:val="00F44931"/>
    <w:rsid w:val="00F53F10"/>
    <w:rsid w:val="00F636F8"/>
    <w:rsid w:val="00FA2C8E"/>
    <w:rsid w:val="00FC1860"/>
    <w:rsid w:val="00FC7EA5"/>
    <w:rsid w:val="00FF5B1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3</Pages>
  <Words>459</Words>
  <Characters>2530</Characters>
  <Application>Microsoft Office Word</Application>
  <DocSecurity>0</DocSecurity>
  <Lines>21</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108</cp:revision>
  <dcterms:created xsi:type="dcterms:W3CDTF">2021-11-25T09:44:00Z</dcterms:created>
  <dcterms:modified xsi:type="dcterms:W3CDTF">2023-04-07T16:18:00Z</dcterms:modified>
</cp:coreProperties>
</file>