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3069004" w:rsidR="00902D2F" w:rsidRDefault="00F80C13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1ED109" wp14:editId="285909DD">
            <wp:extent cx="6263640" cy="3383280"/>
            <wp:effectExtent l="0" t="0" r="381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64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AB874" w14:textId="1B123238" w:rsidR="00EB5864" w:rsidRDefault="00041E4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B930C4">
        <w:rPr>
          <w:rFonts w:ascii="Tahoma" w:hAnsi="Tahoma" w:cs="Tahoma"/>
        </w:rPr>
        <w:t xml:space="preserve">a poursuite de la hausse de l’indice est </w:t>
      </w:r>
      <w:r w:rsidR="00266605">
        <w:rPr>
          <w:rFonts w:ascii="Tahoma" w:hAnsi="Tahoma" w:cs="Tahoma"/>
        </w:rPr>
        <w:t>conditionnée</w:t>
      </w:r>
      <w:r w:rsidR="00B930C4">
        <w:rPr>
          <w:rFonts w:ascii="Tahoma" w:hAnsi="Tahoma" w:cs="Tahoma"/>
        </w:rPr>
        <w:t xml:space="preserve"> par un dépassement </w:t>
      </w:r>
      <w:r w:rsidR="00266605">
        <w:rPr>
          <w:rFonts w:ascii="Tahoma" w:hAnsi="Tahoma" w:cs="Tahoma"/>
        </w:rPr>
        <w:t>du sommet</w:t>
      </w:r>
      <w:r w:rsidR="00B930C4">
        <w:rPr>
          <w:rFonts w:ascii="Tahoma" w:hAnsi="Tahoma" w:cs="Tahoma"/>
        </w:rPr>
        <w:t xml:space="preserve"> de 4415.</w:t>
      </w:r>
    </w:p>
    <w:p w14:paraId="555DA04C" w14:textId="05350AD7" w:rsidR="001705F4" w:rsidRDefault="00EB5864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dernière chandelle s’</w:t>
      </w:r>
      <w:r w:rsidR="00266605">
        <w:rPr>
          <w:rFonts w:ascii="Tahoma" w:hAnsi="Tahoma" w:cs="Tahoma"/>
        </w:rPr>
        <w:t>arrête</w:t>
      </w:r>
      <w:r>
        <w:rPr>
          <w:rFonts w:ascii="Tahoma" w:hAnsi="Tahoma" w:cs="Tahoma"/>
        </w:rPr>
        <w:t xml:space="preserve"> sous la résistance après un haut à 4408. Mais cette bougie sans personnalité ne permet pas d’envisager un dépassement. Elle n’a pas non plus l’allure d’un chandelier d’alerte prévenant d’une correction </w:t>
      </w:r>
      <w:r w:rsidR="005063AE">
        <w:rPr>
          <w:rFonts w:ascii="Tahoma" w:hAnsi="Tahoma" w:cs="Tahoma"/>
        </w:rPr>
        <w:t xml:space="preserve">baissière </w:t>
      </w:r>
      <w:r>
        <w:rPr>
          <w:rFonts w:ascii="Tahoma" w:hAnsi="Tahoma" w:cs="Tahoma"/>
        </w:rPr>
        <w:t>imminente.</w:t>
      </w:r>
      <w:r w:rsidR="00C93807">
        <w:rPr>
          <w:rFonts w:ascii="Tahoma" w:hAnsi="Tahoma" w:cs="Tahoma"/>
        </w:rPr>
        <w:t xml:space="preserve"> Nous sommes </w:t>
      </w:r>
      <w:r w:rsidR="005063AE">
        <w:rPr>
          <w:rFonts w:ascii="Tahoma" w:hAnsi="Tahoma" w:cs="Tahoma"/>
        </w:rPr>
        <w:t xml:space="preserve">juste </w:t>
      </w:r>
      <w:r w:rsidR="00C93807">
        <w:rPr>
          <w:rFonts w:ascii="Tahoma" w:hAnsi="Tahoma" w:cs="Tahoma"/>
        </w:rPr>
        <w:t>sous une résistance majeure dans un marché largement suracheté.</w:t>
      </w:r>
    </w:p>
    <w:p w14:paraId="1432B26B" w14:textId="13E62C4C" w:rsidR="00EB5864" w:rsidRDefault="00D37843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</w:t>
      </w:r>
      <w:r w:rsidR="00C93807">
        <w:rPr>
          <w:rFonts w:ascii="Tahoma" w:hAnsi="Tahoma" w:cs="Tahoma"/>
        </w:rPr>
        <w:t>dehors de ces observations, répété</w:t>
      </w:r>
      <w:r w:rsidR="003733D2">
        <w:rPr>
          <w:rFonts w:ascii="Tahoma" w:hAnsi="Tahoma" w:cs="Tahoma"/>
        </w:rPr>
        <w:t>e</w:t>
      </w:r>
      <w:r w:rsidR="00C93807">
        <w:rPr>
          <w:rFonts w:ascii="Tahoma" w:hAnsi="Tahoma" w:cs="Tahoma"/>
        </w:rPr>
        <w:t>s à longu</w:t>
      </w:r>
      <w:r w:rsidR="003733D2">
        <w:rPr>
          <w:rFonts w:ascii="Tahoma" w:hAnsi="Tahoma" w:cs="Tahoma"/>
        </w:rPr>
        <w:t>eu</w:t>
      </w:r>
      <w:r w:rsidR="00C93807">
        <w:rPr>
          <w:rFonts w:ascii="Tahoma" w:hAnsi="Tahoma" w:cs="Tahoma"/>
        </w:rPr>
        <w:t xml:space="preserve">r d’analyses, </w:t>
      </w:r>
      <w:r w:rsidR="005063AE">
        <w:rPr>
          <w:rFonts w:ascii="Tahoma" w:hAnsi="Tahoma" w:cs="Tahoma"/>
        </w:rPr>
        <w:t>j’ai recherché</w:t>
      </w:r>
      <w:r>
        <w:rPr>
          <w:rFonts w:ascii="Tahoma" w:hAnsi="Tahoma" w:cs="Tahoma"/>
        </w:rPr>
        <w:t xml:space="preserve"> des </w:t>
      </w:r>
      <w:r w:rsidR="00266605">
        <w:rPr>
          <w:rFonts w:ascii="Tahoma" w:hAnsi="Tahoma" w:cs="Tahoma"/>
        </w:rPr>
        <w:t>éléments</w:t>
      </w:r>
      <w:r>
        <w:rPr>
          <w:rFonts w:ascii="Tahoma" w:hAnsi="Tahoma" w:cs="Tahoma"/>
        </w:rPr>
        <w:t xml:space="preserve"> pouvant </w:t>
      </w:r>
      <w:r w:rsidR="005E47BC">
        <w:rPr>
          <w:rFonts w:ascii="Tahoma" w:hAnsi="Tahoma" w:cs="Tahoma"/>
        </w:rPr>
        <w:t>m’aider à anticiper la suite</w:t>
      </w:r>
      <w:r w:rsidR="005063AE">
        <w:rPr>
          <w:rFonts w:ascii="Tahoma" w:hAnsi="Tahoma" w:cs="Tahoma"/>
        </w:rPr>
        <w:t xml:space="preserve"> et</w:t>
      </w:r>
      <w:r w:rsidR="005E47BC">
        <w:rPr>
          <w:rFonts w:ascii="Tahoma" w:hAnsi="Tahoma" w:cs="Tahoma"/>
        </w:rPr>
        <w:t xml:space="preserve"> j’ai constaté que les volumes étaient toujours plus </w:t>
      </w:r>
      <w:r w:rsidR="00266605">
        <w:rPr>
          <w:rFonts w:ascii="Tahoma" w:hAnsi="Tahoma" w:cs="Tahoma"/>
        </w:rPr>
        <w:t>importants</w:t>
      </w:r>
      <w:r w:rsidR="005E47BC">
        <w:rPr>
          <w:rFonts w:ascii="Tahoma" w:hAnsi="Tahoma" w:cs="Tahoma"/>
        </w:rPr>
        <w:t xml:space="preserve"> lors des baisses, que ce soit sur le court terme que sur le moyen terme. A travers cette observation, on peut penser que les positions longues </w:t>
      </w:r>
      <w:r w:rsidR="00840835">
        <w:rPr>
          <w:rFonts w:ascii="Tahoma" w:hAnsi="Tahoma" w:cs="Tahoma"/>
        </w:rPr>
        <w:t xml:space="preserve">sur l’indice </w:t>
      </w:r>
      <w:r w:rsidR="005E47BC">
        <w:rPr>
          <w:rFonts w:ascii="Tahoma" w:hAnsi="Tahoma" w:cs="Tahoma"/>
        </w:rPr>
        <w:t>s</w:t>
      </w:r>
      <w:r w:rsidR="005063AE">
        <w:rPr>
          <w:rFonts w:ascii="Tahoma" w:hAnsi="Tahoma" w:cs="Tahoma"/>
        </w:rPr>
        <w:t>er</w:t>
      </w:r>
      <w:r w:rsidR="005E47BC">
        <w:rPr>
          <w:rFonts w:ascii="Tahoma" w:hAnsi="Tahoma" w:cs="Tahoma"/>
        </w:rPr>
        <w:t xml:space="preserve">ont maintenues tant que </w:t>
      </w:r>
      <w:r w:rsidR="00840835">
        <w:rPr>
          <w:rFonts w:ascii="Tahoma" w:hAnsi="Tahoma" w:cs="Tahoma"/>
        </w:rPr>
        <w:t>les investisseurs ne v</w:t>
      </w:r>
      <w:r w:rsidR="005063AE">
        <w:rPr>
          <w:rFonts w:ascii="Tahoma" w:hAnsi="Tahoma" w:cs="Tahoma"/>
        </w:rPr>
        <w:t>erro</w:t>
      </w:r>
      <w:r w:rsidR="00840835">
        <w:rPr>
          <w:rFonts w:ascii="Tahoma" w:hAnsi="Tahoma" w:cs="Tahoma"/>
        </w:rPr>
        <w:t>nt pas de risque à une poursuite de la hausse des prix. Cela veut aussi dire qu’à la moindre mauvaise nouvelle une correction verra le jour.</w:t>
      </w:r>
    </w:p>
    <w:p w14:paraId="10BB9766" w14:textId="12025E57" w:rsidR="00723F77" w:rsidRDefault="0012564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un marché suracheté </w:t>
      </w:r>
      <w:r w:rsidR="000F7ECC">
        <w:rPr>
          <w:rFonts w:ascii="Tahoma" w:hAnsi="Tahoma" w:cs="Tahoma"/>
        </w:rPr>
        <w:t xml:space="preserve">peut continuer de progresser c’est pour cette raison que </w:t>
      </w:r>
      <w:r w:rsidR="005063AE">
        <w:rPr>
          <w:rFonts w:ascii="Tahoma" w:hAnsi="Tahoma" w:cs="Tahoma"/>
        </w:rPr>
        <w:t xml:space="preserve">la logique de </w:t>
      </w:r>
      <w:r w:rsidR="000F7ECC">
        <w:rPr>
          <w:rFonts w:ascii="Tahoma" w:hAnsi="Tahoma" w:cs="Tahoma"/>
        </w:rPr>
        <w:t xml:space="preserve">l’inversion des polarités permettra de valider la cassure de 4415 si elle devrait se produire cette semaine. Elle impliquera une poursuite de la hausse qu’en maintien des cours </w:t>
      </w:r>
      <w:r w:rsidR="00266605">
        <w:rPr>
          <w:rFonts w:ascii="Tahoma" w:hAnsi="Tahoma" w:cs="Tahoma"/>
        </w:rPr>
        <w:t>au-dessus</w:t>
      </w:r>
      <w:r w:rsidR="000F7ECC">
        <w:rPr>
          <w:rFonts w:ascii="Tahoma" w:hAnsi="Tahoma" w:cs="Tahoma"/>
        </w:rPr>
        <w:t xml:space="preserve"> de 4415.</w:t>
      </w:r>
    </w:p>
    <w:p w14:paraId="7ECBFD62" w14:textId="28E34D1C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550AC7">
        <w:rPr>
          <w:rFonts w:ascii="Tahoma" w:hAnsi="Tahoma" w:cs="Tahoma"/>
        </w:rPr>
        <w:t xml:space="preserve"> Marché suracheté qui devrait </w:t>
      </w:r>
      <w:r w:rsidR="00266605">
        <w:rPr>
          <w:rFonts w:ascii="Tahoma" w:hAnsi="Tahoma" w:cs="Tahoma"/>
        </w:rPr>
        <w:t>corriger</w:t>
      </w:r>
      <w:r w:rsidR="00550AC7">
        <w:rPr>
          <w:rFonts w:ascii="Tahoma" w:hAnsi="Tahoma" w:cs="Tahoma"/>
        </w:rPr>
        <w:t xml:space="preserve"> s’il ne parvient pas à </w:t>
      </w:r>
      <w:r w:rsidR="00266605">
        <w:rPr>
          <w:rFonts w:ascii="Tahoma" w:hAnsi="Tahoma" w:cs="Tahoma"/>
        </w:rPr>
        <w:t>dépasser</w:t>
      </w:r>
      <w:r w:rsidR="00550AC7">
        <w:rPr>
          <w:rFonts w:ascii="Tahoma" w:hAnsi="Tahoma" w:cs="Tahoma"/>
        </w:rPr>
        <w:t xml:space="preserve"> la résistance de 4415. Sinon poursuite de la hausse conditionnée par une cassure et un maintien des prix </w:t>
      </w:r>
      <w:r w:rsidR="00266605">
        <w:rPr>
          <w:rFonts w:ascii="Tahoma" w:hAnsi="Tahoma" w:cs="Tahoma"/>
        </w:rPr>
        <w:t>au-dessus</w:t>
      </w:r>
      <w:r w:rsidR="00550AC7">
        <w:rPr>
          <w:rFonts w:ascii="Tahoma" w:hAnsi="Tahoma" w:cs="Tahoma"/>
        </w:rPr>
        <w:t xml:space="preserve"> de 4415.</w:t>
      </w:r>
    </w:p>
    <w:p w14:paraId="6AC64CF7" w14:textId="77777777" w:rsidR="00550AC7" w:rsidRDefault="00550AC7" w:rsidP="00041E45">
      <w:pPr>
        <w:jc w:val="both"/>
        <w:rPr>
          <w:rFonts w:ascii="Tahoma" w:hAnsi="Tahoma" w:cs="Tahoma"/>
        </w:rPr>
      </w:pPr>
    </w:p>
    <w:p w14:paraId="09D59234" w14:textId="4E9953FD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0F7ECC"/>
    <w:rsid w:val="001018AD"/>
    <w:rsid w:val="00105B4E"/>
    <w:rsid w:val="00125640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66605"/>
    <w:rsid w:val="002A1F8E"/>
    <w:rsid w:val="002B5CB1"/>
    <w:rsid w:val="002C0A31"/>
    <w:rsid w:val="002F54B0"/>
    <w:rsid w:val="0030643B"/>
    <w:rsid w:val="00337611"/>
    <w:rsid w:val="00340FD9"/>
    <w:rsid w:val="00352DD9"/>
    <w:rsid w:val="003733D2"/>
    <w:rsid w:val="003C2E49"/>
    <w:rsid w:val="0040171B"/>
    <w:rsid w:val="00467005"/>
    <w:rsid w:val="004A5154"/>
    <w:rsid w:val="005063AE"/>
    <w:rsid w:val="00531928"/>
    <w:rsid w:val="005440A4"/>
    <w:rsid w:val="00546A5A"/>
    <w:rsid w:val="00550AC7"/>
    <w:rsid w:val="00566580"/>
    <w:rsid w:val="00567AF3"/>
    <w:rsid w:val="00583BC8"/>
    <w:rsid w:val="005E47BC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40835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930C4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93807"/>
    <w:rsid w:val="00CC7C21"/>
    <w:rsid w:val="00CE0886"/>
    <w:rsid w:val="00CF2516"/>
    <w:rsid w:val="00CF6D63"/>
    <w:rsid w:val="00D23B28"/>
    <w:rsid w:val="00D37843"/>
    <w:rsid w:val="00D46C8D"/>
    <w:rsid w:val="00DE5444"/>
    <w:rsid w:val="00DF072F"/>
    <w:rsid w:val="00E32014"/>
    <w:rsid w:val="00EB5864"/>
    <w:rsid w:val="00EB58BA"/>
    <w:rsid w:val="00F04A6E"/>
    <w:rsid w:val="00F04DEF"/>
    <w:rsid w:val="00F31070"/>
    <w:rsid w:val="00F53F10"/>
    <w:rsid w:val="00F636F8"/>
    <w:rsid w:val="00F80C13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2</Pages>
  <Words>373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87</cp:revision>
  <dcterms:created xsi:type="dcterms:W3CDTF">2021-11-25T09:44:00Z</dcterms:created>
  <dcterms:modified xsi:type="dcterms:W3CDTF">2023-04-22T16:02:00Z</dcterms:modified>
</cp:coreProperties>
</file>