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413B5B84" w:rsidR="00902D2F" w:rsidRDefault="00A4337A" w:rsidP="00B41C02">
      <w:pPr>
        <w:jc w:val="both"/>
        <w:rPr>
          <w:rFonts w:ascii="Tahoma" w:hAnsi="Tahoma" w:cs="Tahoma"/>
        </w:rPr>
      </w:pPr>
      <w:r>
        <w:rPr>
          <w:noProof/>
        </w:rPr>
        <w:drawing>
          <wp:inline distT="0" distB="0" distL="0" distR="0" wp14:anchorId="539AB742" wp14:editId="314DA1B2">
            <wp:extent cx="5760720" cy="4320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374D1F17" w14:textId="330256C0" w:rsidR="00583BC8"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1A4796">
        <w:rPr>
          <w:rFonts w:ascii="Tahoma" w:hAnsi="Tahoma" w:cs="Tahoma"/>
        </w:rPr>
        <w:t>a</w:t>
      </w:r>
      <w:r w:rsidR="00A4337A">
        <w:rPr>
          <w:rFonts w:ascii="Tahoma" w:hAnsi="Tahoma" w:cs="Tahoma"/>
        </w:rPr>
        <w:t xml:space="preserve"> poursuite de la baisse du contrat Bund a permis aux prix de revenir sur la base du long chandelier blanc de la semaine du </w:t>
      </w:r>
      <w:r w:rsidR="00D13E9A">
        <w:rPr>
          <w:rFonts w:ascii="Tahoma" w:hAnsi="Tahoma" w:cs="Tahoma"/>
        </w:rPr>
        <w:t>13 mars</w:t>
      </w:r>
      <w:r w:rsidR="001E1D3D">
        <w:rPr>
          <w:rFonts w:ascii="Tahoma" w:hAnsi="Tahoma" w:cs="Tahoma"/>
        </w:rPr>
        <w:t xml:space="preserve"> (T-6)</w:t>
      </w:r>
      <w:r w:rsidR="00D13E9A">
        <w:rPr>
          <w:rFonts w:ascii="Tahoma" w:hAnsi="Tahoma" w:cs="Tahoma"/>
        </w:rPr>
        <w:t xml:space="preserve"> à 133.60.</w:t>
      </w:r>
      <w:r w:rsidR="000E116B">
        <w:rPr>
          <w:rFonts w:ascii="Tahoma" w:hAnsi="Tahoma" w:cs="Tahoma"/>
        </w:rPr>
        <w:t xml:space="preserve"> Ce retour annule une bonne partie du contexte favorable à la hausse lors de sa formation. La </w:t>
      </w:r>
      <w:r w:rsidR="00EE4BDD">
        <w:rPr>
          <w:rFonts w:ascii="Tahoma" w:hAnsi="Tahoma" w:cs="Tahoma"/>
        </w:rPr>
        <w:t>clôture</w:t>
      </w:r>
      <w:r w:rsidR="000E116B">
        <w:rPr>
          <w:rFonts w:ascii="Tahoma" w:hAnsi="Tahoma" w:cs="Tahoma"/>
        </w:rPr>
        <w:t xml:space="preserve"> de la dernière chandelle à 133.59</w:t>
      </w:r>
      <w:r w:rsidR="00737417">
        <w:rPr>
          <w:rFonts w:ascii="Tahoma" w:hAnsi="Tahoma" w:cs="Tahoma"/>
        </w:rPr>
        <w:t>, même si elle est de petite taille, confirme la cassure</w:t>
      </w:r>
      <w:r w:rsidR="004B7902">
        <w:rPr>
          <w:rFonts w:ascii="Tahoma" w:hAnsi="Tahoma" w:cs="Tahoma"/>
        </w:rPr>
        <w:t xml:space="preserve"> de 134.16, soit</w:t>
      </w:r>
      <w:r w:rsidR="00737417">
        <w:rPr>
          <w:rFonts w:ascii="Tahoma" w:hAnsi="Tahoma" w:cs="Tahoma"/>
        </w:rPr>
        <w:t xml:space="preserve"> 61.8% de retracement </w:t>
      </w:r>
      <w:r w:rsidR="004B7902">
        <w:rPr>
          <w:rFonts w:ascii="Tahoma" w:hAnsi="Tahoma" w:cs="Tahoma"/>
        </w:rPr>
        <w:t xml:space="preserve">de la précédente hausse </w:t>
      </w:r>
      <w:r w:rsidR="00F0361B">
        <w:rPr>
          <w:rFonts w:ascii="Tahoma" w:hAnsi="Tahoma" w:cs="Tahoma"/>
        </w:rPr>
        <w:t>et favorise la poursuite de la baisse en direction des 100% de correction c’est à dire 130.36.</w:t>
      </w:r>
      <w:r w:rsidR="00645FE0">
        <w:rPr>
          <w:rFonts w:ascii="Tahoma" w:hAnsi="Tahoma" w:cs="Tahoma"/>
        </w:rPr>
        <w:t xml:space="preserve"> </w:t>
      </w:r>
    </w:p>
    <w:p w14:paraId="16C57605" w14:textId="23CCD425" w:rsidR="00471A9C" w:rsidRDefault="00471A9C" w:rsidP="00B41C02">
      <w:pPr>
        <w:jc w:val="both"/>
        <w:rPr>
          <w:rFonts w:ascii="Tahoma" w:hAnsi="Tahoma" w:cs="Tahoma"/>
        </w:rPr>
      </w:pPr>
      <w:r>
        <w:rPr>
          <w:rFonts w:ascii="Tahoma" w:hAnsi="Tahoma" w:cs="Tahoma"/>
        </w:rPr>
        <w:t xml:space="preserve">Pour autant, les plats de TS et de KS qui se poursuivent nous disent que la dynamique de mouvement n’est plus là. Les cours peuvent ainsi évoluer sans tendance précise autour de ces plats qui sont respectivement sur 135.33 et 136.10. </w:t>
      </w: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710BA38C" w14:textId="749B577C" w:rsidR="00163C46" w:rsidRDefault="00FD7EDE" w:rsidP="00263ED0">
      <w:pPr>
        <w:jc w:val="both"/>
        <w:rPr>
          <w:rFonts w:ascii="Tahoma" w:hAnsi="Tahoma" w:cs="Tahoma"/>
        </w:rPr>
      </w:pPr>
      <w:r>
        <w:rPr>
          <w:noProof/>
        </w:rPr>
        <w:lastRenderedPageBreak/>
        <w:drawing>
          <wp:inline distT="0" distB="0" distL="0" distR="0" wp14:anchorId="58B24550" wp14:editId="08B16A99">
            <wp:extent cx="5760720" cy="43205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4DD00CDA" w:rsidR="00467005" w:rsidRDefault="00FD7EDE" w:rsidP="00041E45">
      <w:pPr>
        <w:jc w:val="both"/>
        <w:rPr>
          <w:rFonts w:ascii="Tahoma" w:hAnsi="Tahoma" w:cs="Tahoma"/>
        </w:rPr>
      </w:pPr>
      <w:r>
        <w:rPr>
          <w:rFonts w:ascii="Tahoma" w:hAnsi="Tahoma" w:cs="Tahoma"/>
        </w:rPr>
        <w:t xml:space="preserve">La cassure de 134.80, base du triangle descendant, a placé le contrat dans un environnement favorable à une poursuite de la baisse. J’ai donné la semaine dernière l’objectif technique de cette sortie </w:t>
      </w:r>
      <w:r w:rsidR="00F4235C">
        <w:rPr>
          <w:rFonts w:ascii="Tahoma" w:hAnsi="Tahoma" w:cs="Tahoma"/>
        </w:rPr>
        <w:t xml:space="preserve">(3.00% sur le 10 ans Allemand et 130.00 sur le contrat Bund), mais cela ne reste qu’une cible théorique. La seule conviction que nous pouvons avoir aujourd’hui est </w:t>
      </w:r>
      <w:r w:rsidR="00EE4BDD">
        <w:rPr>
          <w:rFonts w:ascii="Tahoma" w:hAnsi="Tahoma" w:cs="Tahoma"/>
        </w:rPr>
        <w:t>qu’un</w:t>
      </w:r>
      <w:r w:rsidR="00F4235C">
        <w:rPr>
          <w:rFonts w:ascii="Tahoma" w:hAnsi="Tahoma" w:cs="Tahoma"/>
        </w:rPr>
        <w:t xml:space="preserve"> maintien sous l’ancienne ligne de support </w:t>
      </w:r>
      <w:r w:rsidR="001E1D3D">
        <w:rPr>
          <w:rFonts w:ascii="Tahoma" w:hAnsi="Tahoma" w:cs="Tahoma"/>
        </w:rPr>
        <w:t xml:space="preserve">du triangle </w:t>
      </w:r>
      <w:r w:rsidR="00F4235C">
        <w:rPr>
          <w:rFonts w:ascii="Tahoma" w:hAnsi="Tahoma" w:cs="Tahoma"/>
        </w:rPr>
        <w:t xml:space="preserve">de 134.80 sera </w:t>
      </w:r>
      <w:r w:rsidR="00EE4BDD">
        <w:rPr>
          <w:rFonts w:ascii="Tahoma" w:hAnsi="Tahoma" w:cs="Tahoma"/>
        </w:rPr>
        <w:t>nécessaire</w:t>
      </w:r>
      <w:r w:rsidR="00F4235C">
        <w:rPr>
          <w:rFonts w:ascii="Tahoma" w:hAnsi="Tahoma" w:cs="Tahoma"/>
        </w:rPr>
        <w:t xml:space="preserve"> pour garder un biais baissier.</w:t>
      </w:r>
    </w:p>
    <w:p w14:paraId="50BCA7CD" w14:textId="61E246BF" w:rsidR="00812250" w:rsidRDefault="00812250" w:rsidP="00041E45">
      <w:pPr>
        <w:jc w:val="both"/>
        <w:rPr>
          <w:rFonts w:ascii="Tahoma" w:hAnsi="Tahoma" w:cs="Tahoma"/>
        </w:rPr>
      </w:pPr>
      <w:r>
        <w:rPr>
          <w:rFonts w:ascii="Tahoma" w:hAnsi="Tahoma" w:cs="Tahoma"/>
        </w:rPr>
        <w:t xml:space="preserve">Sur la semaine, la baisse des cours sur 133.10 s’est faite à travers une dynamique baissière qui se réduisait. L’affaiblissement du courant vendeur a débouché sur une hausse au cours de la séance de jeudi. Mais la </w:t>
      </w:r>
      <w:r w:rsidR="00EE4BDD">
        <w:rPr>
          <w:rFonts w:ascii="Tahoma" w:hAnsi="Tahoma" w:cs="Tahoma"/>
        </w:rPr>
        <w:t>clôture</w:t>
      </w:r>
      <w:r>
        <w:rPr>
          <w:rFonts w:ascii="Tahoma" w:hAnsi="Tahoma" w:cs="Tahoma"/>
        </w:rPr>
        <w:t xml:space="preserve"> hebdomadaire </w:t>
      </w:r>
      <w:r w:rsidR="001E1D3D">
        <w:rPr>
          <w:rFonts w:ascii="Tahoma" w:hAnsi="Tahoma" w:cs="Tahoma"/>
        </w:rPr>
        <w:t xml:space="preserve">de vendredi, </w:t>
      </w:r>
      <w:r>
        <w:rPr>
          <w:rFonts w:ascii="Tahoma" w:hAnsi="Tahoma" w:cs="Tahoma"/>
        </w:rPr>
        <w:t>a permis de redonner un certain avantage aux baissiers.</w:t>
      </w:r>
    </w:p>
    <w:p w14:paraId="37949EDC" w14:textId="4B1F7068" w:rsidR="00812250" w:rsidRDefault="00C5644A" w:rsidP="00041E45">
      <w:pPr>
        <w:jc w:val="both"/>
        <w:rPr>
          <w:rFonts w:ascii="Tahoma" w:hAnsi="Tahoma" w:cs="Tahoma"/>
        </w:rPr>
      </w:pPr>
      <w:r>
        <w:rPr>
          <w:rFonts w:ascii="Tahoma" w:hAnsi="Tahoma" w:cs="Tahoma"/>
        </w:rPr>
        <w:t xml:space="preserve">Une remise en question de cet avantage passera dans un premier temps par un retour du contrat </w:t>
      </w:r>
      <w:r w:rsidR="00EE4BDD">
        <w:rPr>
          <w:rFonts w:ascii="Tahoma" w:hAnsi="Tahoma" w:cs="Tahoma"/>
        </w:rPr>
        <w:t>au-dessus</w:t>
      </w:r>
      <w:r>
        <w:rPr>
          <w:rFonts w:ascii="Tahoma" w:hAnsi="Tahoma" w:cs="Tahoma"/>
        </w:rPr>
        <w:t xml:space="preserve"> de 134.41.</w:t>
      </w:r>
      <w:r w:rsidR="00721DC3">
        <w:rPr>
          <w:rFonts w:ascii="Tahoma" w:hAnsi="Tahoma" w:cs="Tahoma"/>
        </w:rPr>
        <w:t xml:space="preserve"> Mais la confirmation d’un début de basculement du rapport de force </w:t>
      </w:r>
      <w:r w:rsidR="001E1D3D">
        <w:rPr>
          <w:rFonts w:ascii="Tahoma" w:hAnsi="Tahoma" w:cs="Tahoma"/>
        </w:rPr>
        <w:t xml:space="preserve">de court terme </w:t>
      </w:r>
      <w:r w:rsidR="00721DC3">
        <w:rPr>
          <w:rFonts w:ascii="Tahoma" w:hAnsi="Tahoma" w:cs="Tahoma"/>
        </w:rPr>
        <w:t>sera visible en dépassement de 134.80.</w:t>
      </w:r>
    </w:p>
    <w:p w14:paraId="10BB9766" w14:textId="77777777" w:rsidR="00723F77" w:rsidRDefault="00723F77" w:rsidP="00041E45">
      <w:pPr>
        <w:jc w:val="both"/>
        <w:rPr>
          <w:rFonts w:ascii="Tahoma" w:hAnsi="Tahoma" w:cs="Tahoma"/>
        </w:rPr>
      </w:pPr>
    </w:p>
    <w:p w14:paraId="6E428007" w14:textId="067836D9"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A823FD">
        <w:rPr>
          <w:rFonts w:ascii="Tahoma" w:hAnsi="Tahoma" w:cs="Tahoma"/>
        </w:rPr>
        <w:t xml:space="preserve"> Le ralentissement de la dynamique baissière </w:t>
      </w:r>
      <w:r w:rsidR="00EE4BDD">
        <w:rPr>
          <w:rFonts w:ascii="Tahoma" w:hAnsi="Tahoma" w:cs="Tahoma"/>
        </w:rPr>
        <w:t>débouchant</w:t>
      </w:r>
      <w:r w:rsidR="004B7ECF">
        <w:rPr>
          <w:rFonts w:ascii="Tahoma" w:hAnsi="Tahoma" w:cs="Tahoma"/>
        </w:rPr>
        <w:t xml:space="preserve"> sur une inversion de mouvement passera par le dépassement progressif des résistances suivantes : 134.16, 134.41 et 134.80. Sans une cassure définitive de 134.80, le biais restera favorable à la baisse avec 132.17 pour premier support.</w:t>
      </w:r>
    </w:p>
    <w:p w14:paraId="2E975A96" w14:textId="77777777" w:rsidR="00EE6B93" w:rsidRDefault="00EE6B93" w:rsidP="00041E45">
      <w:pPr>
        <w:jc w:val="both"/>
        <w:rPr>
          <w:rFonts w:ascii="Tahoma" w:hAnsi="Tahoma" w:cs="Tahoma"/>
        </w:rPr>
      </w:pPr>
    </w:p>
    <w:p w14:paraId="75A26EFF" w14:textId="1D8C0EFF" w:rsidR="00EE6B93" w:rsidRPr="0079367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0E116B"/>
    <w:rsid w:val="001018AD"/>
    <w:rsid w:val="00103ED4"/>
    <w:rsid w:val="00105B4E"/>
    <w:rsid w:val="00134AFA"/>
    <w:rsid w:val="00135766"/>
    <w:rsid w:val="0014687D"/>
    <w:rsid w:val="0015581D"/>
    <w:rsid w:val="00163C46"/>
    <w:rsid w:val="001705F4"/>
    <w:rsid w:val="00190995"/>
    <w:rsid w:val="001A4796"/>
    <w:rsid w:val="001D474B"/>
    <w:rsid w:val="001E1D3D"/>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71A9C"/>
    <w:rsid w:val="004A2D2D"/>
    <w:rsid w:val="004A5154"/>
    <w:rsid w:val="004B7902"/>
    <w:rsid w:val="004B7ECF"/>
    <w:rsid w:val="004F48EE"/>
    <w:rsid w:val="00531928"/>
    <w:rsid w:val="005440A4"/>
    <w:rsid w:val="00546A5A"/>
    <w:rsid w:val="00566580"/>
    <w:rsid w:val="00567AF3"/>
    <w:rsid w:val="00583BC8"/>
    <w:rsid w:val="00645FE0"/>
    <w:rsid w:val="00654380"/>
    <w:rsid w:val="00664BE1"/>
    <w:rsid w:val="006B055C"/>
    <w:rsid w:val="006E32BB"/>
    <w:rsid w:val="006E38E0"/>
    <w:rsid w:val="00710599"/>
    <w:rsid w:val="00721DC3"/>
    <w:rsid w:val="00723F77"/>
    <w:rsid w:val="00737417"/>
    <w:rsid w:val="00744696"/>
    <w:rsid w:val="00772067"/>
    <w:rsid w:val="0077545D"/>
    <w:rsid w:val="00793673"/>
    <w:rsid w:val="007A0A4B"/>
    <w:rsid w:val="007A0E6C"/>
    <w:rsid w:val="007B1237"/>
    <w:rsid w:val="007B661D"/>
    <w:rsid w:val="007D19FF"/>
    <w:rsid w:val="007D2085"/>
    <w:rsid w:val="007D4181"/>
    <w:rsid w:val="00812250"/>
    <w:rsid w:val="0083454A"/>
    <w:rsid w:val="00837B38"/>
    <w:rsid w:val="00896554"/>
    <w:rsid w:val="008A7407"/>
    <w:rsid w:val="008F10C2"/>
    <w:rsid w:val="00902D2F"/>
    <w:rsid w:val="00961FDF"/>
    <w:rsid w:val="00983B7D"/>
    <w:rsid w:val="009A37C2"/>
    <w:rsid w:val="009F3AB8"/>
    <w:rsid w:val="00A11606"/>
    <w:rsid w:val="00A4337A"/>
    <w:rsid w:val="00A6401C"/>
    <w:rsid w:val="00A81AB7"/>
    <w:rsid w:val="00A823FD"/>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5644A"/>
    <w:rsid w:val="00C70171"/>
    <w:rsid w:val="00C70A68"/>
    <w:rsid w:val="00C82E98"/>
    <w:rsid w:val="00CB17C9"/>
    <w:rsid w:val="00CC72FF"/>
    <w:rsid w:val="00CC7C21"/>
    <w:rsid w:val="00CE0886"/>
    <w:rsid w:val="00CF2516"/>
    <w:rsid w:val="00CF6D63"/>
    <w:rsid w:val="00D13E9A"/>
    <w:rsid w:val="00D23B28"/>
    <w:rsid w:val="00D46C8D"/>
    <w:rsid w:val="00DA1359"/>
    <w:rsid w:val="00DE5444"/>
    <w:rsid w:val="00DF072F"/>
    <w:rsid w:val="00E32014"/>
    <w:rsid w:val="00E3727C"/>
    <w:rsid w:val="00EB58BA"/>
    <w:rsid w:val="00EE4BDD"/>
    <w:rsid w:val="00EE6B93"/>
    <w:rsid w:val="00F0361B"/>
    <w:rsid w:val="00F04A6E"/>
    <w:rsid w:val="00F04DEF"/>
    <w:rsid w:val="00F31070"/>
    <w:rsid w:val="00F4235C"/>
    <w:rsid w:val="00F53F10"/>
    <w:rsid w:val="00F636F8"/>
    <w:rsid w:val="00FA2C8E"/>
    <w:rsid w:val="00FC1860"/>
    <w:rsid w:val="00FC7EA5"/>
    <w:rsid w:val="00FD7ED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3</Pages>
  <Words>460</Words>
  <Characters>2531</Characters>
  <Application>Microsoft Office Word</Application>
  <DocSecurity>0</DocSecurity>
  <Lines>21</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116</cp:revision>
  <dcterms:created xsi:type="dcterms:W3CDTF">2021-11-25T09:44:00Z</dcterms:created>
  <dcterms:modified xsi:type="dcterms:W3CDTF">2023-04-22T15:59:00Z</dcterms:modified>
</cp:coreProperties>
</file>