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70D939DB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EB3201">
        <w:rPr>
          <w:sz w:val="48"/>
          <w:szCs w:val="48"/>
          <w:u w:val="single"/>
        </w:rPr>
        <w:t>10 ans  EURO</w:t>
      </w:r>
      <w:r w:rsidR="00D569E8" w:rsidRPr="00826F39">
        <w:rPr>
          <w:sz w:val="48"/>
          <w:szCs w:val="48"/>
          <w:u w:val="single"/>
        </w:rPr>
        <w:t xml:space="preserve">   </w:t>
      </w:r>
    </w:p>
    <w:p w14:paraId="31B1B352" w14:textId="5A3B6850" w:rsidR="0005563F" w:rsidRDefault="00EB3201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Month</w:t>
      </w:r>
    </w:p>
    <w:p w14:paraId="7E3AB3CD" w14:textId="41B8B951" w:rsidR="00D569E8" w:rsidRDefault="004D5C5F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6CB0B9B8" wp14:editId="0D5CF22A">
            <wp:extent cx="6397625" cy="3322320"/>
            <wp:effectExtent l="0" t="0" r="317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160" cy="33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A32E4" w14:textId="478603F5" w:rsidR="00DA4851" w:rsidRDefault="004475E1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A90D7D">
        <w:rPr>
          <w:rFonts w:ascii="Tahoma" w:hAnsi="Tahoma" w:cs="Tahoma"/>
        </w:rPr>
        <w:t>ors de l’analyse du contrat Bund, le fait d’évoquer un objectif technique à 3.00 % sur le 10 ans Euro m’</w:t>
      </w:r>
      <w:r w:rsidR="00496928">
        <w:rPr>
          <w:rFonts w:ascii="Tahoma" w:hAnsi="Tahoma" w:cs="Tahoma"/>
        </w:rPr>
        <w:t>amène</w:t>
      </w:r>
      <w:r w:rsidR="00A90D7D">
        <w:rPr>
          <w:rFonts w:ascii="Tahoma" w:hAnsi="Tahoma" w:cs="Tahoma"/>
        </w:rPr>
        <w:t xml:space="preserve"> à regarder si cette cible </w:t>
      </w:r>
      <w:r w:rsidR="00496928">
        <w:rPr>
          <w:rFonts w:ascii="Tahoma" w:hAnsi="Tahoma" w:cs="Tahoma"/>
        </w:rPr>
        <w:t>peut être envisagée</w:t>
      </w:r>
      <w:r w:rsidR="003D57EA">
        <w:rPr>
          <w:rFonts w:ascii="Tahoma" w:hAnsi="Tahoma" w:cs="Tahoma"/>
        </w:rPr>
        <w:t xml:space="preserve"> dans le contexte actuel</w:t>
      </w:r>
      <w:r w:rsidR="004D5C5F">
        <w:rPr>
          <w:rFonts w:ascii="Tahoma" w:hAnsi="Tahoma" w:cs="Tahoma"/>
        </w:rPr>
        <w:t>.</w:t>
      </w:r>
      <w:r w:rsidR="00496928">
        <w:rPr>
          <w:rFonts w:ascii="Tahoma" w:hAnsi="Tahoma" w:cs="Tahoma"/>
        </w:rPr>
        <w:t xml:space="preserve"> Historiquement, le prochain sommet touché en avril 2011 se situe à 3.50%.</w:t>
      </w:r>
    </w:p>
    <w:p w14:paraId="08ADEBF0" w14:textId="7110BE41" w:rsidR="004D5C5F" w:rsidRDefault="004D5C5F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10 ans euro est actuellement sur le niveau de 2.50%. La forte hausse du mois de décembre dernier qui a vu le taux passer de 1.85 % </w:t>
      </w:r>
      <w:r w:rsidR="00496928">
        <w:rPr>
          <w:rFonts w:ascii="Tahoma" w:hAnsi="Tahoma" w:cs="Tahoma"/>
        </w:rPr>
        <w:t>pour finir</w:t>
      </w:r>
      <w:r>
        <w:rPr>
          <w:rFonts w:ascii="Tahoma" w:hAnsi="Tahoma" w:cs="Tahoma"/>
        </w:rPr>
        <w:t xml:space="preserve"> </w:t>
      </w:r>
      <w:r w:rsidR="00496928">
        <w:rPr>
          <w:rFonts w:ascii="Tahoma" w:hAnsi="Tahoma" w:cs="Tahoma"/>
        </w:rPr>
        <w:t>à</w:t>
      </w:r>
      <w:r>
        <w:rPr>
          <w:rFonts w:ascii="Tahoma" w:hAnsi="Tahoma" w:cs="Tahoma"/>
        </w:rPr>
        <w:t xml:space="preserve"> 2.55%, n’a pas encore était remise en question. </w:t>
      </w:r>
      <w:r w:rsidR="009A14CC">
        <w:rPr>
          <w:rFonts w:ascii="Tahoma" w:hAnsi="Tahoma" w:cs="Tahoma"/>
        </w:rPr>
        <w:t>Les mèches basses des chandeliers des mois qui ont suivi cette hausse, renforcent l’influence haussière de ce long chandelier blanc et permet</w:t>
      </w:r>
      <w:r w:rsidR="00496928">
        <w:rPr>
          <w:rFonts w:ascii="Tahoma" w:hAnsi="Tahoma" w:cs="Tahoma"/>
        </w:rPr>
        <w:t>tent</w:t>
      </w:r>
      <w:r w:rsidR="009A14CC">
        <w:rPr>
          <w:rFonts w:ascii="Tahoma" w:hAnsi="Tahoma" w:cs="Tahoma"/>
        </w:rPr>
        <w:t xml:space="preserve"> d’avantager une vue haussière tant que le 10 ans ne sera pas revenu sous le niveau de 1.85%.</w:t>
      </w:r>
    </w:p>
    <w:p w14:paraId="7D7DC32E" w14:textId="77777777" w:rsidR="00B63E71" w:rsidRDefault="00341253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la dynamique haussière a marqué une pause. Cette situation </w:t>
      </w:r>
      <w:r w:rsidR="00B63E71">
        <w:rPr>
          <w:rFonts w:ascii="Tahoma" w:hAnsi="Tahoma" w:cs="Tahoma"/>
        </w:rPr>
        <w:t>est</w:t>
      </w:r>
      <w:r>
        <w:rPr>
          <w:rFonts w:ascii="Tahoma" w:hAnsi="Tahoma" w:cs="Tahoma"/>
        </w:rPr>
        <w:t xml:space="preserve"> </w:t>
      </w:r>
      <w:r w:rsidR="000236F8">
        <w:rPr>
          <w:rFonts w:ascii="Tahoma" w:hAnsi="Tahoma" w:cs="Tahoma"/>
        </w:rPr>
        <w:t xml:space="preserve">visible en </w:t>
      </w:r>
      <w:r>
        <w:rPr>
          <w:rFonts w:ascii="Tahoma" w:hAnsi="Tahoma" w:cs="Tahoma"/>
        </w:rPr>
        <w:t>fusion</w:t>
      </w:r>
      <w:r w:rsidR="000236F8">
        <w:rPr>
          <w:rFonts w:ascii="Tahoma" w:hAnsi="Tahoma" w:cs="Tahoma"/>
        </w:rPr>
        <w:t>nant</w:t>
      </w:r>
      <w:r>
        <w:rPr>
          <w:rFonts w:ascii="Tahoma" w:hAnsi="Tahoma" w:cs="Tahoma"/>
        </w:rPr>
        <w:t xml:space="preserve"> </w:t>
      </w:r>
      <w:r w:rsidR="000236F8">
        <w:rPr>
          <w:rFonts w:ascii="Tahoma" w:hAnsi="Tahoma" w:cs="Tahoma"/>
        </w:rPr>
        <w:t>l</w:t>
      </w:r>
      <w:r>
        <w:rPr>
          <w:rFonts w:ascii="Tahoma" w:hAnsi="Tahoma" w:cs="Tahoma"/>
        </w:rPr>
        <w:t xml:space="preserve">es quatre derniers chandeliers et </w:t>
      </w:r>
      <w:r w:rsidR="00B63E71">
        <w:rPr>
          <w:rFonts w:ascii="Tahoma" w:hAnsi="Tahoma" w:cs="Tahoma"/>
        </w:rPr>
        <w:t>en observant le développement horizontal de la TS.</w:t>
      </w:r>
    </w:p>
    <w:p w14:paraId="4C76F6AE" w14:textId="2A5FCA0A" w:rsidR="009A14CC" w:rsidRDefault="00FF3E6C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dernière chandelle n’est pas encore terminée mais comme les précédente</w:t>
      </w:r>
      <w:r w:rsidR="00496928">
        <w:rPr>
          <w:rFonts w:ascii="Tahoma" w:hAnsi="Tahoma" w:cs="Tahoma"/>
        </w:rPr>
        <w:t>s</w:t>
      </w:r>
      <w:r>
        <w:rPr>
          <w:rFonts w:ascii="Tahoma" w:hAnsi="Tahoma" w:cs="Tahoma"/>
        </w:rPr>
        <w:t>, elle est constituée (pour le moment) d’une mèche basse qui exclue la baisse.</w:t>
      </w:r>
      <w:r w:rsidR="00341253">
        <w:rPr>
          <w:rFonts w:ascii="Tahoma" w:hAnsi="Tahoma" w:cs="Tahoma"/>
        </w:rPr>
        <w:t xml:space="preserve"> </w:t>
      </w:r>
    </w:p>
    <w:p w14:paraId="02B63013" w14:textId="6A132AAE" w:rsidR="00DA4851" w:rsidRDefault="00D1163B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 part sa composition, la TS devrait mécaniquement repartir à la hausse dés le mois de mai. Elle collera un peu plus aux prix et apportera un support sur des niveaux supérieurs</w:t>
      </w:r>
      <w:r w:rsidR="00B6262B">
        <w:rPr>
          <w:rFonts w:ascii="Tahoma" w:hAnsi="Tahoma" w:cs="Tahoma"/>
        </w:rPr>
        <w:t xml:space="preserve"> (</w:t>
      </w:r>
      <w:r w:rsidR="00496928">
        <w:rPr>
          <w:rFonts w:ascii="Tahoma" w:hAnsi="Tahoma" w:cs="Tahoma"/>
        </w:rPr>
        <w:t xml:space="preserve">tout d’abord </w:t>
      </w:r>
      <w:r w:rsidR="00B6262B">
        <w:rPr>
          <w:rFonts w:ascii="Tahoma" w:hAnsi="Tahoma" w:cs="Tahoma"/>
        </w:rPr>
        <w:t>2.12% si le sommet de 2.77% ne change pas</w:t>
      </w:r>
      <w:r w:rsidR="00496928">
        <w:rPr>
          <w:rFonts w:ascii="Tahoma" w:hAnsi="Tahoma" w:cs="Tahoma"/>
        </w:rPr>
        <w:t>,</w:t>
      </w:r>
      <w:r w:rsidR="00B6262B">
        <w:rPr>
          <w:rFonts w:ascii="Tahoma" w:hAnsi="Tahoma" w:cs="Tahoma"/>
        </w:rPr>
        <w:t xml:space="preserve"> contre 1.72% actuellement). </w:t>
      </w: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6F18A7F8" w:rsidR="00DA4851" w:rsidRPr="00DA4851" w:rsidRDefault="00EB3201" w:rsidP="007F6E22">
      <w:pPr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Week </w:t>
      </w:r>
    </w:p>
    <w:p w14:paraId="592A8BBD" w14:textId="02030E64" w:rsidR="00DA4851" w:rsidRDefault="00A252FF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50AA36B4" wp14:editId="2CF19E54">
            <wp:extent cx="6327348" cy="3573780"/>
            <wp:effectExtent l="0" t="0" r="0" b="762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961" cy="357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EC55F" w14:textId="72412E93" w:rsidR="00342AFF" w:rsidRDefault="00A252FF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Plusieurs trends haussiers supportent l’évolution du taux. Le premier débute à la fin du mois de février et comprend trois points d’impact. Le second, plus court et plus pentu </w:t>
      </w:r>
      <w:r w:rsidR="00496928">
        <w:rPr>
          <w:rFonts w:ascii="Tahoma" w:hAnsi="Tahoma" w:cs="Tahoma"/>
        </w:rPr>
        <w:t>début</w:t>
      </w:r>
      <w:r w:rsidR="005C6329">
        <w:rPr>
          <w:rFonts w:ascii="Tahoma" w:hAnsi="Tahoma" w:cs="Tahoma"/>
        </w:rPr>
        <w:t>e</w:t>
      </w:r>
      <w:r w:rsidR="00F81757">
        <w:rPr>
          <w:rFonts w:ascii="Tahoma" w:hAnsi="Tahoma" w:cs="Tahoma"/>
        </w:rPr>
        <w:t xml:space="preserve"> à la fin du mois de mars.</w:t>
      </w:r>
    </w:p>
    <w:p w14:paraId="55DC22CA" w14:textId="30E293FE" w:rsidR="008E248C" w:rsidRDefault="008E248C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point initial de ce dernier trend </w:t>
      </w:r>
      <w:r w:rsidR="005C6329">
        <w:rPr>
          <w:rFonts w:ascii="Tahoma" w:hAnsi="Tahoma" w:cs="Tahoma"/>
        </w:rPr>
        <w:t>a commencé</w:t>
      </w:r>
      <w:r>
        <w:rPr>
          <w:rFonts w:ascii="Tahoma" w:hAnsi="Tahoma" w:cs="Tahoma"/>
        </w:rPr>
        <w:t xml:space="preserve"> avec une chandelle de type marteau inversé</w:t>
      </w:r>
      <w:r w:rsidR="005123F7">
        <w:rPr>
          <w:rFonts w:ascii="Tahoma" w:hAnsi="Tahoma" w:cs="Tahoma"/>
        </w:rPr>
        <w:t xml:space="preserve"> qui se classe dans les lignes d’indécision</w:t>
      </w:r>
      <w:r>
        <w:rPr>
          <w:rFonts w:ascii="Tahoma" w:hAnsi="Tahoma" w:cs="Tahoma"/>
        </w:rPr>
        <w:t>. Le dépassement du point de cette bougie</w:t>
      </w:r>
      <w:r w:rsidR="00A463C8">
        <w:rPr>
          <w:rFonts w:ascii="Tahoma" w:hAnsi="Tahoma" w:cs="Tahoma"/>
        </w:rPr>
        <w:t xml:space="preserve"> de 2.39%</w:t>
      </w:r>
      <w:r>
        <w:rPr>
          <w:rFonts w:ascii="Tahoma" w:hAnsi="Tahoma" w:cs="Tahoma"/>
        </w:rPr>
        <w:t xml:space="preserve"> </w:t>
      </w:r>
      <w:r w:rsidR="00E3585D">
        <w:rPr>
          <w:rFonts w:ascii="Tahoma" w:hAnsi="Tahoma" w:cs="Tahoma"/>
        </w:rPr>
        <w:t xml:space="preserve">a </w:t>
      </w:r>
      <w:r w:rsidR="005C6329">
        <w:rPr>
          <w:rFonts w:ascii="Tahoma" w:hAnsi="Tahoma" w:cs="Tahoma"/>
        </w:rPr>
        <w:t>validé</w:t>
      </w:r>
      <w:r w:rsidR="00E3585D">
        <w:rPr>
          <w:rFonts w:ascii="Tahoma" w:hAnsi="Tahoma" w:cs="Tahoma"/>
        </w:rPr>
        <w:t xml:space="preserve"> un signal haussier </w:t>
      </w:r>
      <w:r w:rsidR="005123F7">
        <w:rPr>
          <w:rFonts w:ascii="Tahoma" w:hAnsi="Tahoma" w:cs="Tahoma"/>
        </w:rPr>
        <w:t>et incité</w:t>
      </w:r>
      <w:r w:rsidR="00E3585D">
        <w:rPr>
          <w:rFonts w:ascii="Tahoma" w:hAnsi="Tahoma" w:cs="Tahoma"/>
        </w:rPr>
        <w:t xml:space="preserve"> les investisseurs qui avaient ouvert des positions à la baisse </w:t>
      </w:r>
      <w:r w:rsidR="005123F7">
        <w:rPr>
          <w:rFonts w:ascii="Tahoma" w:hAnsi="Tahoma" w:cs="Tahoma"/>
        </w:rPr>
        <w:t>du taux à revoir ces dernières.</w:t>
      </w:r>
    </w:p>
    <w:p w14:paraId="6A426360" w14:textId="7F8B2769" w:rsidR="005123F7" w:rsidRDefault="005123F7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Par cette bougie,  le 10 ans a </w:t>
      </w:r>
      <w:r w:rsidR="00496928">
        <w:rPr>
          <w:rFonts w:ascii="Tahoma" w:hAnsi="Tahoma" w:cs="Tahoma"/>
        </w:rPr>
        <w:t>bâti</w:t>
      </w:r>
      <w:r>
        <w:rPr>
          <w:rFonts w:ascii="Tahoma" w:hAnsi="Tahoma" w:cs="Tahoma"/>
        </w:rPr>
        <w:t xml:space="preserve"> un support horizontal sur 1.92% et l</w:t>
      </w:r>
      <w:r w:rsidR="00A463C8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remise en question de la baisse en dépassement de 2.39% a permis de </w:t>
      </w:r>
      <w:r w:rsidR="00496928">
        <w:rPr>
          <w:rFonts w:ascii="Tahoma" w:hAnsi="Tahoma" w:cs="Tahoma"/>
        </w:rPr>
        <w:t>dessiner</w:t>
      </w:r>
      <w:r>
        <w:rPr>
          <w:rFonts w:ascii="Tahoma" w:hAnsi="Tahoma" w:cs="Tahoma"/>
        </w:rPr>
        <w:t xml:space="preserve"> un trend haussier</w:t>
      </w:r>
      <w:r w:rsidR="00E33A45">
        <w:rPr>
          <w:rFonts w:ascii="Tahoma" w:hAnsi="Tahoma" w:cs="Tahoma"/>
        </w:rPr>
        <w:t xml:space="preserve"> qui donne actuellement un avantage à la poursuite de la hausse (2.40% avec un pas de +0.10% par semaine).</w:t>
      </w:r>
    </w:p>
    <w:p w14:paraId="20C65899" w14:textId="5DE437CC" w:rsidR="00A14C7E" w:rsidRDefault="00395F8C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cette unité de temps, TS et KS sont plates. Elles serviront de zone pivot sur respectivement 2.34% et 2.26%.</w:t>
      </w:r>
      <w:r w:rsidR="00A9359B">
        <w:rPr>
          <w:rFonts w:ascii="Tahoma" w:hAnsi="Tahoma" w:cs="Tahoma"/>
        </w:rPr>
        <w:t xml:space="preserve"> A noter que la SSA, plat</w:t>
      </w:r>
      <w:r w:rsidR="00A463C8">
        <w:rPr>
          <w:rFonts w:ascii="Tahoma" w:hAnsi="Tahoma" w:cs="Tahoma"/>
        </w:rPr>
        <w:t>e</w:t>
      </w:r>
      <w:r w:rsidR="00A9359B">
        <w:rPr>
          <w:rFonts w:ascii="Tahoma" w:hAnsi="Tahoma" w:cs="Tahoma"/>
        </w:rPr>
        <w:t xml:space="preserve"> sur 2.30% apporte un soutien non négligeable à cette zone pivot.</w:t>
      </w:r>
    </w:p>
    <w:p w14:paraId="29FF45D0" w14:textId="77777777" w:rsidR="00A463C8" w:rsidRDefault="00A463C8" w:rsidP="007F6E22">
      <w:pPr>
        <w:jc w:val="both"/>
        <w:rPr>
          <w:rFonts w:ascii="Tahoma" w:hAnsi="Tahoma" w:cs="Tahoma"/>
        </w:rPr>
      </w:pPr>
    </w:p>
    <w:p w14:paraId="1FA3AA99" w14:textId="574E8AEB" w:rsidR="008567DE" w:rsidRDefault="005E0F40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14C7E">
        <w:rPr>
          <w:rFonts w:ascii="Tahoma" w:hAnsi="Tahoma" w:cs="Tahoma"/>
        </w:rPr>
        <w:t xml:space="preserve"> Evolution sans tendance du 10 ans Euro. Le biais sera favorable à la hausse tant que ce dernier restera positionné </w:t>
      </w:r>
      <w:r w:rsidR="00496928">
        <w:rPr>
          <w:rFonts w:ascii="Tahoma" w:hAnsi="Tahoma" w:cs="Tahoma"/>
        </w:rPr>
        <w:t>au-dessus</w:t>
      </w:r>
      <w:r w:rsidR="00A14C7E">
        <w:rPr>
          <w:rFonts w:ascii="Tahoma" w:hAnsi="Tahoma" w:cs="Tahoma"/>
        </w:rPr>
        <w:t xml:space="preserve"> de 1.92%.</w:t>
      </w:r>
      <w:r w:rsidR="00A463C8">
        <w:rPr>
          <w:rFonts w:ascii="Tahoma" w:hAnsi="Tahoma" w:cs="Tahoma"/>
        </w:rPr>
        <w:t xml:space="preserve"> </w:t>
      </w:r>
    </w:p>
    <w:p w14:paraId="72DCEF34" w14:textId="77777777" w:rsidR="004E1569" w:rsidRDefault="004E1569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385B9ABE" w:rsidR="00D45A59" w:rsidRDefault="009F25FB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686B51A0" w14:textId="2D4C4E28" w:rsidR="00D45A59" w:rsidRDefault="00D45A59" w:rsidP="007F6E22">
      <w:pPr>
        <w:jc w:val="both"/>
        <w:rPr>
          <w:rFonts w:ascii="Tahoma" w:hAnsi="Tahoma" w:cs="Tahoma"/>
        </w:rPr>
      </w:pPr>
    </w:p>
    <w:p w14:paraId="635F13EB" w14:textId="518C11D6" w:rsidR="009F25FB" w:rsidRDefault="009F25FB" w:rsidP="007F6E22">
      <w:pPr>
        <w:jc w:val="both"/>
        <w:rPr>
          <w:rFonts w:ascii="Tahoma" w:hAnsi="Tahoma" w:cs="Tahoma"/>
        </w:rPr>
      </w:pPr>
    </w:p>
    <w:p w14:paraId="05951510" w14:textId="4355C3E1" w:rsidR="009F25FB" w:rsidRDefault="009F25FB" w:rsidP="007F6E22">
      <w:pPr>
        <w:jc w:val="both"/>
        <w:rPr>
          <w:rFonts w:ascii="Tahoma" w:hAnsi="Tahoma" w:cs="Tahoma"/>
        </w:rPr>
      </w:pPr>
    </w:p>
    <w:p w14:paraId="4C486A00" w14:textId="111764FC" w:rsidR="009F25FB" w:rsidRDefault="009F25FB" w:rsidP="007F6E22">
      <w:pPr>
        <w:jc w:val="both"/>
        <w:rPr>
          <w:rFonts w:ascii="Tahoma" w:hAnsi="Tahoma" w:cs="Tahoma"/>
        </w:rPr>
      </w:pPr>
    </w:p>
    <w:p w14:paraId="4989C900" w14:textId="77777777" w:rsidR="009F25FB" w:rsidRDefault="009F25FB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236F8"/>
    <w:rsid w:val="00046E8B"/>
    <w:rsid w:val="0005563F"/>
    <w:rsid w:val="00092058"/>
    <w:rsid w:val="00110ADF"/>
    <w:rsid w:val="00113C92"/>
    <w:rsid w:val="00140A73"/>
    <w:rsid w:val="00217087"/>
    <w:rsid w:val="002244B9"/>
    <w:rsid w:val="00264400"/>
    <w:rsid w:val="002A5DC5"/>
    <w:rsid w:val="002B27CF"/>
    <w:rsid w:val="002C4CD0"/>
    <w:rsid w:val="002E7AF3"/>
    <w:rsid w:val="00306FDE"/>
    <w:rsid w:val="00341253"/>
    <w:rsid w:val="00342AFF"/>
    <w:rsid w:val="00394D2F"/>
    <w:rsid w:val="00395F8C"/>
    <w:rsid w:val="003D1D17"/>
    <w:rsid w:val="003D57EA"/>
    <w:rsid w:val="004475E1"/>
    <w:rsid w:val="00447D4B"/>
    <w:rsid w:val="00496928"/>
    <w:rsid w:val="004D5C5F"/>
    <w:rsid w:val="004E1569"/>
    <w:rsid w:val="005123F7"/>
    <w:rsid w:val="005440A4"/>
    <w:rsid w:val="00563CB1"/>
    <w:rsid w:val="00572015"/>
    <w:rsid w:val="005C6329"/>
    <w:rsid w:val="005E0F40"/>
    <w:rsid w:val="00760FE2"/>
    <w:rsid w:val="007923BF"/>
    <w:rsid w:val="007F6E22"/>
    <w:rsid w:val="0081635D"/>
    <w:rsid w:val="00826F39"/>
    <w:rsid w:val="008567DE"/>
    <w:rsid w:val="008E248C"/>
    <w:rsid w:val="008F21BD"/>
    <w:rsid w:val="008F230F"/>
    <w:rsid w:val="008F7E7D"/>
    <w:rsid w:val="0094194C"/>
    <w:rsid w:val="00960940"/>
    <w:rsid w:val="00967DAB"/>
    <w:rsid w:val="009A14CC"/>
    <w:rsid w:val="009B7066"/>
    <w:rsid w:val="009F25FB"/>
    <w:rsid w:val="00A04A9A"/>
    <w:rsid w:val="00A14C7E"/>
    <w:rsid w:val="00A252FF"/>
    <w:rsid w:val="00A463C8"/>
    <w:rsid w:val="00A90D7D"/>
    <w:rsid w:val="00A9359B"/>
    <w:rsid w:val="00A95C6D"/>
    <w:rsid w:val="00B6262B"/>
    <w:rsid w:val="00B63E71"/>
    <w:rsid w:val="00BB4354"/>
    <w:rsid w:val="00C07406"/>
    <w:rsid w:val="00D1163B"/>
    <w:rsid w:val="00D45A59"/>
    <w:rsid w:val="00D569E8"/>
    <w:rsid w:val="00DA4851"/>
    <w:rsid w:val="00DE3513"/>
    <w:rsid w:val="00E33A45"/>
    <w:rsid w:val="00E3585D"/>
    <w:rsid w:val="00EB3201"/>
    <w:rsid w:val="00F17ECE"/>
    <w:rsid w:val="00F81757"/>
    <w:rsid w:val="00F94E2A"/>
    <w:rsid w:val="00FA6717"/>
    <w:rsid w:val="00FF2F62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3</Pages>
  <Words>519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66</cp:revision>
  <dcterms:created xsi:type="dcterms:W3CDTF">2021-12-13T10:46:00Z</dcterms:created>
  <dcterms:modified xsi:type="dcterms:W3CDTF">2023-04-23T15:08:00Z</dcterms:modified>
</cp:coreProperties>
</file>