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1FD98C23" w:rsidR="00902D2F" w:rsidRDefault="00605006" w:rsidP="00B41C02">
      <w:pPr>
        <w:jc w:val="both"/>
        <w:rPr>
          <w:rFonts w:ascii="Tahoma" w:hAnsi="Tahoma" w:cs="Tahoma"/>
        </w:rPr>
      </w:pPr>
      <w:r>
        <w:rPr>
          <w:noProof/>
        </w:rPr>
        <w:drawing>
          <wp:inline distT="0" distB="0" distL="0" distR="0" wp14:anchorId="09E6D528" wp14:editId="1965A527">
            <wp:extent cx="6227498" cy="4168140"/>
            <wp:effectExtent l="0" t="0" r="1905" b="3810"/>
            <wp:docPr id="158621837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230991" cy="4170478"/>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7AC4D2D2" w14:textId="25BF7286" w:rsidR="00DF072F" w:rsidRDefault="00BB6D9D" w:rsidP="00B41C02">
      <w:pPr>
        <w:jc w:val="both"/>
        <w:rPr>
          <w:rFonts w:ascii="Tahoma" w:hAnsi="Tahoma" w:cs="Tahoma"/>
        </w:rPr>
      </w:pPr>
      <w:r>
        <w:rPr>
          <w:rFonts w:ascii="Tahoma" w:hAnsi="Tahoma" w:cs="Tahoma"/>
        </w:rPr>
        <w:t xml:space="preserve"> </w:t>
      </w:r>
      <w:r w:rsidR="00041E45">
        <w:rPr>
          <w:rFonts w:ascii="Tahoma" w:hAnsi="Tahoma" w:cs="Tahoma"/>
        </w:rPr>
        <w:t>L</w:t>
      </w:r>
      <w:r w:rsidR="008E5213">
        <w:rPr>
          <w:rFonts w:ascii="Tahoma" w:hAnsi="Tahoma" w:cs="Tahoma"/>
        </w:rPr>
        <w:t xml:space="preserve">a résistance de long terme de 4415 n’a toujours pas été invalidée. Plusieurs tests de l’indice au cours des dernières semaines sans parvenir à s’établir </w:t>
      </w:r>
      <w:r w:rsidR="006D1637">
        <w:rPr>
          <w:rFonts w:ascii="Tahoma" w:hAnsi="Tahoma" w:cs="Tahoma"/>
        </w:rPr>
        <w:t>au-dessus</w:t>
      </w:r>
      <w:r w:rsidR="008E5213">
        <w:rPr>
          <w:rFonts w:ascii="Tahoma" w:hAnsi="Tahoma" w:cs="Tahoma"/>
        </w:rPr>
        <w:t xml:space="preserve">. </w:t>
      </w:r>
    </w:p>
    <w:p w14:paraId="716AD63A" w14:textId="47900AF6" w:rsidR="008E5213" w:rsidRDefault="008E5213" w:rsidP="00B41C02">
      <w:pPr>
        <w:jc w:val="both"/>
        <w:rPr>
          <w:rFonts w:ascii="Tahoma" w:hAnsi="Tahoma" w:cs="Tahoma"/>
        </w:rPr>
      </w:pPr>
      <w:r>
        <w:rPr>
          <w:rFonts w:ascii="Tahoma" w:hAnsi="Tahoma" w:cs="Tahoma"/>
        </w:rPr>
        <w:t xml:space="preserve">Malgré une belle bougie blanche la semaine dernière (T-2), le chandelier suivant  de type pendu pour </w:t>
      </w:r>
      <w:r w:rsidR="006D1637">
        <w:rPr>
          <w:rFonts w:ascii="Tahoma" w:hAnsi="Tahoma" w:cs="Tahoma"/>
        </w:rPr>
        <w:t>la</w:t>
      </w:r>
      <w:r>
        <w:rPr>
          <w:rFonts w:ascii="Tahoma" w:hAnsi="Tahoma" w:cs="Tahoma"/>
        </w:rPr>
        <w:t xml:space="preserve"> semaine</w:t>
      </w:r>
      <w:r w:rsidR="006D1637">
        <w:rPr>
          <w:rFonts w:ascii="Tahoma" w:hAnsi="Tahoma" w:cs="Tahoma"/>
        </w:rPr>
        <w:t>,</w:t>
      </w:r>
      <w:r>
        <w:rPr>
          <w:rFonts w:ascii="Tahoma" w:hAnsi="Tahoma" w:cs="Tahoma"/>
        </w:rPr>
        <w:t xml:space="preserve"> montre l’importance de 4415.</w:t>
      </w:r>
    </w:p>
    <w:p w14:paraId="06A8B87B" w14:textId="795EE9D4" w:rsidR="00F6692B" w:rsidRDefault="006C35C4" w:rsidP="00B41C02">
      <w:pPr>
        <w:jc w:val="both"/>
        <w:rPr>
          <w:rFonts w:ascii="Tahoma" w:hAnsi="Tahoma" w:cs="Tahoma"/>
        </w:rPr>
      </w:pPr>
      <w:r>
        <w:rPr>
          <w:rFonts w:ascii="Tahoma" w:hAnsi="Tahoma" w:cs="Tahoma"/>
        </w:rPr>
        <w:t xml:space="preserve">Quoi qu’il en soit, la mèche basse du dernier chandelier </w:t>
      </w:r>
      <w:r w:rsidR="006D1637">
        <w:rPr>
          <w:rFonts w:ascii="Tahoma" w:hAnsi="Tahoma" w:cs="Tahoma"/>
        </w:rPr>
        <w:t>indique</w:t>
      </w:r>
      <w:r>
        <w:rPr>
          <w:rFonts w:ascii="Tahoma" w:hAnsi="Tahoma" w:cs="Tahoma"/>
        </w:rPr>
        <w:t xml:space="preserve"> que les acheteurs cherchent toujours </w:t>
      </w:r>
      <w:r w:rsidR="006D1637">
        <w:rPr>
          <w:rFonts w:ascii="Tahoma" w:hAnsi="Tahoma" w:cs="Tahoma"/>
        </w:rPr>
        <w:t>des</w:t>
      </w:r>
      <w:r>
        <w:rPr>
          <w:rFonts w:ascii="Tahoma" w:hAnsi="Tahoma" w:cs="Tahoma"/>
        </w:rPr>
        <w:t xml:space="preserve"> occasions pour intervenir et les corrections leur </w:t>
      </w:r>
      <w:r w:rsidR="006D1637">
        <w:rPr>
          <w:rFonts w:ascii="Tahoma" w:hAnsi="Tahoma" w:cs="Tahoma"/>
        </w:rPr>
        <w:t>ouvre</w:t>
      </w:r>
      <w:r>
        <w:rPr>
          <w:rFonts w:ascii="Tahoma" w:hAnsi="Tahoma" w:cs="Tahoma"/>
        </w:rPr>
        <w:t xml:space="preserve"> des opportunités.</w:t>
      </w:r>
    </w:p>
    <w:p w14:paraId="2DB7B0E2" w14:textId="539D12FE" w:rsidR="00ED6DDA" w:rsidRDefault="00ED6DDA" w:rsidP="00B41C02">
      <w:pPr>
        <w:jc w:val="both"/>
        <w:rPr>
          <w:rFonts w:ascii="Tahoma" w:hAnsi="Tahoma" w:cs="Tahoma"/>
        </w:rPr>
      </w:pPr>
      <w:r>
        <w:rPr>
          <w:rFonts w:ascii="Tahoma" w:hAnsi="Tahoma" w:cs="Tahoma"/>
        </w:rPr>
        <w:t xml:space="preserve">Je pense que la résistance finira par </w:t>
      </w:r>
      <w:r w:rsidR="006D1637">
        <w:rPr>
          <w:rFonts w:ascii="Tahoma" w:hAnsi="Tahoma" w:cs="Tahoma"/>
        </w:rPr>
        <w:t>céder</w:t>
      </w:r>
      <w:r>
        <w:rPr>
          <w:rFonts w:ascii="Tahoma" w:hAnsi="Tahoma" w:cs="Tahoma"/>
        </w:rPr>
        <w:t xml:space="preserve"> parce que les retours systématiques sur le point tendent à l’affaiblir plus qu’à le renforcer. C’est ce que j’ai déjà pu constater au cours de mes analyses. Des retours de prix espacés en temps renforcent un support ou une résistance. Il n’y a qu’à regarder </w:t>
      </w:r>
      <w:r w:rsidR="006D1637">
        <w:rPr>
          <w:rFonts w:ascii="Tahoma" w:hAnsi="Tahoma" w:cs="Tahoma"/>
        </w:rPr>
        <w:t>la manière dont l’Eurostoxx50</w:t>
      </w:r>
      <w:r>
        <w:rPr>
          <w:rFonts w:ascii="Tahoma" w:hAnsi="Tahoma" w:cs="Tahoma"/>
        </w:rPr>
        <w:t xml:space="preserve">  a </w:t>
      </w:r>
      <w:r w:rsidR="006D1637">
        <w:rPr>
          <w:rFonts w:ascii="Tahoma" w:hAnsi="Tahoma" w:cs="Tahoma"/>
        </w:rPr>
        <w:t>réagi</w:t>
      </w:r>
      <w:r>
        <w:rPr>
          <w:rFonts w:ascii="Tahoma" w:hAnsi="Tahoma" w:cs="Tahoma"/>
        </w:rPr>
        <w:t xml:space="preserve"> sur 4415 </w:t>
      </w:r>
      <w:r w:rsidR="006D1637">
        <w:rPr>
          <w:rFonts w:ascii="Tahoma" w:hAnsi="Tahoma" w:cs="Tahoma"/>
        </w:rPr>
        <w:t>début</w:t>
      </w:r>
      <w:r>
        <w:rPr>
          <w:rFonts w:ascii="Tahoma" w:hAnsi="Tahoma" w:cs="Tahoma"/>
        </w:rPr>
        <w:t xml:space="preserve"> 2022.  Par contre des retours fréquents, proches les uns des autres montrent une certaine volonté et un désir de rupture. </w:t>
      </w:r>
    </w:p>
    <w:p w14:paraId="76C71170" w14:textId="011C2D09" w:rsidR="00ED6DDA" w:rsidRDefault="00ED6DDA" w:rsidP="00B41C02">
      <w:pPr>
        <w:jc w:val="both"/>
        <w:rPr>
          <w:rFonts w:ascii="Tahoma" w:hAnsi="Tahoma" w:cs="Tahoma"/>
        </w:rPr>
      </w:pPr>
      <w:r>
        <w:rPr>
          <w:rFonts w:ascii="Tahoma" w:hAnsi="Tahoma" w:cs="Tahoma"/>
        </w:rPr>
        <w:t xml:space="preserve">Dans ce contexte, </w:t>
      </w:r>
      <w:r w:rsidR="006D1637">
        <w:rPr>
          <w:rFonts w:ascii="Tahoma" w:hAnsi="Tahoma" w:cs="Tahoma"/>
        </w:rPr>
        <w:t>seule la logique</w:t>
      </w:r>
      <w:r>
        <w:rPr>
          <w:rFonts w:ascii="Tahoma" w:hAnsi="Tahoma" w:cs="Tahoma"/>
        </w:rPr>
        <w:t xml:space="preserve"> de l’inversion des polarités nous permettra d’avoir une conviction quant à la poursuite de la hausse </w:t>
      </w:r>
      <w:r w:rsidR="006D1637">
        <w:rPr>
          <w:rFonts w:ascii="Tahoma" w:hAnsi="Tahoma" w:cs="Tahoma"/>
        </w:rPr>
        <w:t>au-delà</w:t>
      </w:r>
      <w:r>
        <w:rPr>
          <w:rFonts w:ascii="Tahoma" w:hAnsi="Tahoma" w:cs="Tahoma"/>
        </w:rPr>
        <w:t xml:space="preserve"> de 4415.</w:t>
      </w:r>
    </w:p>
    <w:p w14:paraId="00D98587" w14:textId="77777777" w:rsidR="008E5213" w:rsidRDefault="008E5213"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06E4E6B6" w:rsidR="00583BC8" w:rsidRDefault="00605006" w:rsidP="00B41C02">
      <w:pPr>
        <w:jc w:val="both"/>
        <w:rPr>
          <w:rFonts w:ascii="Tahoma" w:hAnsi="Tahoma" w:cs="Tahoma"/>
        </w:rPr>
      </w:pPr>
      <w:r>
        <w:rPr>
          <w:noProof/>
        </w:rPr>
        <w:drawing>
          <wp:inline distT="0" distB="0" distL="0" distR="0" wp14:anchorId="4DA6E023" wp14:editId="184ED319">
            <wp:extent cx="6022340" cy="3886200"/>
            <wp:effectExtent l="0" t="0" r="0" b="0"/>
            <wp:docPr id="109759318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27857" cy="3889760"/>
                    </a:xfrm>
                    <a:prstGeom prst="rect">
                      <a:avLst/>
                    </a:prstGeom>
                    <a:noFill/>
                    <a:ln>
                      <a:noFill/>
                    </a:ln>
                  </pic:spPr>
                </pic:pic>
              </a:graphicData>
            </a:graphic>
          </wp:inline>
        </w:drawing>
      </w:r>
    </w:p>
    <w:p w14:paraId="28999410" w14:textId="26B73DB0" w:rsidR="00583BC8" w:rsidRDefault="00583BC8" w:rsidP="00B41C02">
      <w:pPr>
        <w:jc w:val="both"/>
        <w:rPr>
          <w:rFonts w:ascii="Tahoma" w:hAnsi="Tahoma" w:cs="Tahoma"/>
        </w:rPr>
      </w:pPr>
    </w:p>
    <w:p w14:paraId="710BA38C" w14:textId="564236E0" w:rsidR="00163C46" w:rsidRDefault="00B54AAF" w:rsidP="00263ED0">
      <w:pPr>
        <w:jc w:val="both"/>
        <w:rPr>
          <w:rFonts w:ascii="Tahoma" w:hAnsi="Tahoma" w:cs="Tahoma"/>
        </w:rPr>
      </w:pPr>
      <w:r>
        <w:rPr>
          <w:rFonts w:ascii="Tahoma" w:hAnsi="Tahoma" w:cs="Tahoma"/>
        </w:rPr>
        <w:t>Pour donner suite à ma vue hebdomadaire. Nous avons sur les trois dernières séances une belle structure de retournement haussière qui prend appui sur la bordure haute du nuage.</w:t>
      </w:r>
    </w:p>
    <w:p w14:paraId="67B8B186" w14:textId="4458A294" w:rsidR="00467005" w:rsidRDefault="00807A3F" w:rsidP="00041E45">
      <w:pPr>
        <w:jc w:val="both"/>
        <w:rPr>
          <w:rFonts w:ascii="Tahoma" w:hAnsi="Tahoma" w:cs="Tahoma"/>
        </w:rPr>
      </w:pPr>
      <w:r>
        <w:rPr>
          <w:rFonts w:ascii="Tahoma" w:hAnsi="Tahoma" w:cs="Tahoma"/>
        </w:rPr>
        <w:t xml:space="preserve">Les plats de TS et de KS sur 4331 serviront de pivot </w:t>
      </w:r>
      <w:r w:rsidR="006D1637">
        <w:rPr>
          <w:rFonts w:ascii="Tahoma" w:hAnsi="Tahoma" w:cs="Tahoma"/>
        </w:rPr>
        <w:t>au-dessus</w:t>
      </w:r>
      <w:r>
        <w:rPr>
          <w:rFonts w:ascii="Tahoma" w:hAnsi="Tahoma" w:cs="Tahoma"/>
        </w:rPr>
        <w:t xml:space="preserve"> duquel un nouveau test de 4415 pourra être envisagé.</w:t>
      </w:r>
    </w:p>
    <w:p w14:paraId="10BB9766" w14:textId="77777777" w:rsidR="00723F77" w:rsidRDefault="00723F77" w:rsidP="00041E45">
      <w:pPr>
        <w:jc w:val="both"/>
        <w:rPr>
          <w:rFonts w:ascii="Tahoma" w:hAnsi="Tahoma" w:cs="Tahoma"/>
        </w:rPr>
      </w:pPr>
    </w:p>
    <w:p w14:paraId="655E9AC0" w14:textId="1025C950"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D0322E">
        <w:rPr>
          <w:rFonts w:ascii="Tahoma" w:hAnsi="Tahoma" w:cs="Tahoma"/>
        </w:rPr>
        <w:t xml:space="preserve"> Probabilité de rupture de 4415 importante tant que l’indice se maintiendra </w:t>
      </w:r>
      <w:r w:rsidR="006D1637">
        <w:rPr>
          <w:rFonts w:ascii="Tahoma" w:hAnsi="Tahoma" w:cs="Tahoma"/>
        </w:rPr>
        <w:t>au-dessus</w:t>
      </w:r>
      <w:r w:rsidR="00D0322E">
        <w:rPr>
          <w:rFonts w:ascii="Tahoma" w:hAnsi="Tahoma" w:cs="Tahoma"/>
        </w:rPr>
        <w:t xml:space="preserve"> de 4331.</w:t>
      </w:r>
    </w:p>
    <w:p w14:paraId="17537DEA" w14:textId="77777777" w:rsidR="006D1637" w:rsidRDefault="006D1637" w:rsidP="00041E45">
      <w:pPr>
        <w:jc w:val="both"/>
        <w:rPr>
          <w:rFonts w:ascii="Tahoma" w:hAnsi="Tahoma" w:cs="Tahoma"/>
        </w:rPr>
      </w:pPr>
    </w:p>
    <w:p w14:paraId="7ECBFD62" w14:textId="381E9F64" w:rsidR="00723F77" w:rsidRDefault="00723F77"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lastRenderedPageBreak/>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3173"/>
    <w:rsid w:val="0002580A"/>
    <w:rsid w:val="00041E45"/>
    <w:rsid w:val="000524C5"/>
    <w:rsid w:val="000556C3"/>
    <w:rsid w:val="000833FB"/>
    <w:rsid w:val="00092058"/>
    <w:rsid w:val="000B7DFC"/>
    <w:rsid w:val="000D4ED3"/>
    <w:rsid w:val="000E47E4"/>
    <w:rsid w:val="001018AD"/>
    <w:rsid w:val="00105B4E"/>
    <w:rsid w:val="00134AFA"/>
    <w:rsid w:val="0014687D"/>
    <w:rsid w:val="0015581D"/>
    <w:rsid w:val="00163C46"/>
    <w:rsid w:val="001705F4"/>
    <w:rsid w:val="00190995"/>
    <w:rsid w:val="001D474B"/>
    <w:rsid w:val="001F650A"/>
    <w:rsid w:val="002003AD"/>
    <w:rsid w:val="002421FE"/>
    <w:rsid w:val="00262E25"/>
    <w:rsid w:val="00263ED0"/>
    <w:rsid w:val="002A1F8E"/>
    <w:rsid w:val="002B5CB1"/>
    <w:rsid w:val="002C0A31"/>
    <w:rsid w:val="002F54B0"/>
    <w:rsid w:val="0030643B"/>
    <w:rsid w:val="00337611"/>
    <w:rsid w:val="00340FD9"/>
    <w:rsid w:val="00352DD9"/>
    <w:rsid w:val="003C2E49"/>
    <w:rsid w:val="0040171B"/>
    <w:rsid w:val="00467005"/>
    <w:rsid w:val="004A5154"/>
    <w:rsid w:val="00531928"/>
    <w:rsid w:val="005440A4"/>
    <w:rsid w:val="00546A5A"/>
    <w:rsid w:val="00566580"/>
    <w:rsid w:val="00567AF3"/>
    <w:rsid w:val="00583BC8"/>
    <w:rsid w:val="00605006"/>
    <w:rsid w:val="00654380"/>
    <w:rsid w:val="006C35C4"/>
    <w:rsid w:val="006D1637"/>
    <w:rsid w:val="006E32BB"/>
    <w:rsid w:val="00723F77"/>
    <w:rsid w:val="00744696"/>
    <w:rsid w:val="00772067"/>
    <w:rsid w:val="0077545D"/>
    <w:rsid w:val="007A0E6C"/>
    <w:rsid w:val="007B661D"/>
    <w:rsid w:val="007D19FF"/>
    <w:rsid w:val="007D2085"/>
    <w:rsid w:val="00807A3F"/>
    <w:rsid w:val="0083454A"/>
    <w:rsid w:val="00835AC6"/>
    <w:rsid w:val="00837B38"/>
    <w:rsid w:val="00896554"/>
    <w:rsid w:val="008A7407"/>
    <w:rsid w:val="008E5213"/>
    <w:rsid w:val="008F10C2"/>
    <w:rsid w:val="00902D2F"/>
    <w:rsid w:val="00961FDF"/>
    <w:rsid w:val="00983B7D"/>
    <w:rsid w:val="009A37C2"/>
    <w:rsid w:val="009F3AB8"/>
    <w:rsid w:val="00A11606"/>
    <w:rsid w:val="00A6401C"/>
    <w:rsid w:val="00A81AB7"/>
    <w:rsid w:val="00AE7F3B"/>
    <w:rsid w:val="00B34260"/>
    <w:rsid w:val="00B41C02"/>
    <w:rsid w:val="00B50E38"/>
    <w:rsid w:val="00B54AAF"/>
    <w:rsid w:val="00B554B8"/>
    <w:rsid w:val="00B64EE0"/>
    <w:rsid w:val="00BB0E32"/>
    <w:rsid w:val="00BB6D9D"/>
    <w:rsid w:val="00BC77A5"/>
    <w:rsid w:val="00BD3FC1"/>
    <w:rsid w:val="00C17ED7"/>
    <w:rsid w:val="00C41F15"/>
    <w:rsid w:val="00C70171"/>
    <w:rsid w:val="00C70A68"/>
    <w:rsid w:val="00C82E98"/>
    <w:rsid w:val="00CC7C21"/>
    <w:rsid w:val="00CE0886"/>
    <w:rsid w:val="00CF2516"/>
    <w:rsid w:val="00CF6D63"/>
    <w:rsid w:val="00D0322E"/>
    <w:rsid w:val="00D23B28"/>
    <w:rsid w:val="00D46C8D"/>
    <w:rsid w:val="00DE5444"/>
    <w:rsid w:val="00DF072F"/>
    <w:rsid w:val="00E32014"/>
    <w:rsid w:val="00EB58BA"/>
    <w:rsid w:val="00ED6DDA"/>
    <w:rsid w:val="00F04A6E"/>
    <w:rsid w:val="00F04DEF"/>
    <w:rsid w:val="00F31070"/>
    <w:rsid w:val="00F53F10"/>
    <w:rsid w:val="00F636F8"/>
    <w:rsid w:val="00F6692B"/>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542</TotalTime>
  <Pages>3</Pages>
  <Words>380</Words>
  <Characters>2096</Characters>
  <Application>Microsoft Office Word</Application>
  <DocSecurity>0</DocSecurity>
  <Lines>17</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84</cp:revision>
  <dcterms:created xsi:type="dcterms:W3CDTF">2021-11-25T09:44:00Z</dcterms:created>
  <dcterms:modified xsi:type="dcterms:W3CDTF">2023-05-27T14:59:00Z</dcterms:modified>
</cp:coreProperties>
</file>