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4455A4DA" w:rsidR="00902D2F" w:rsidRPr="00263ED0" w:rsidRDefault="00263ED0" w:rsidP="00B41C02">
      <w:pPr>
        <w:jc w:val="both"/>
        <w:rPr>
          <w:rFonts w:ascii="Tahoma" w:hAnsi="Tahoma" w:cs="Tahoma"/>
          <w:sz w:val="48"/>
          <w:szCs w:val="48"/>
          <w:u w:val="single"/>
        </w:rPr>
      </w:pPr>
      <w:r>
        <w:rPr>
          <w:rFonts w:ascii="Tahoma" w:hAnsi="Tahoma" w:cs="Tahoma"/>
        </w:rPr>
        <w:t xml:space="preserve">                                      </w:t>
      </w:r>
      <w:r w:rsidR="00A33754">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2CC76EE" w14:textId="49B7452C" w:rsidR="007863D2" w:rsidRPr="00041E45" w:rsidRDefault="007863D2" w:rsidP="007863D2">
      <w:pPr>
        <w:jc w:val="both"/>
        <w:rPr>
          <w:rFonts w:ascii="Tahoma" w:hAnsi="Tahoma" w:cs="Tahoma"/>
          <w:sz w:val="32"/>
          <w:szCs w:val="32"/>
          <w:u w:val="single"/>
        </w:rPr>
      </w:pPr>
      <w:r>
        <w:rPr>
          <w:rFonts w:ascii="Tahoma" w:hAnsi="Tahoma" w:cs="Tahoma"/>
          <w:sz w:val="32"/>
          <w:szCs w:val="32"/>
          <w:u w:val="single"/>
        </w:rPr>
        <w:t>Month</w:t>
      </w:r>
    </w:p>
    <w:p w14:paraId="58FB7914" w14:textId="1C8F14AE" w:rsidR="007863D2" w:rsidRDefault="00892E69" w:rsidP="007863D2">
      <w:pPr>
        <w:jc w:val="both"/>
        <w:rPr>
          <w:rFonts w:ascii="Tahoma" w:hAnsi="Tahoma" w:cs="Tahoma"/>
        </w:rPr>
      </w:pPr>
      <w:r>
        <w:rPr>
          <w:noProof/>
        </w:rPr>
        <w:drawing>
          <wp:inline distT="0" distB="0" distL="0" distR="0" wp14:anchorId="414B4B55" wp14:editId="3D55A0FF">
            <wp:extent cx="5760720" cy="4320540"/>
            <wp:effectExtent l="0" t="0" r="0" b="3810"/>
            <wp:docPr id="7800776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6D85318" w14:textId="0A8E0FC9" w:rsidR="007863D2" w:rsidRDefault="00071EA7" w:rsidP="007863D2">
      <w:pPr>
        <w:jc w:val="both"/>
        <w:rPr>
          <w:rFonts w:ascii="Tahoma" w:hAnsi="Tahoma" w:cs="Tahoma"/>
        </w:rPr>
      </w:pPr>
      <w:r>
        <w:rPr>
          <w:rFonts w:ascii="Tahoma" w:hAnsi="Tahoma" w:cs="Tahoma"/>
        </w:rPr>
        <w:t>La dernière chandelle composée essentiellement de mèches</w:t>
      </w:r>
      <w:r w:rsidR="004B6C2E">
        <w:rPr>
          <w:rFonts w:ascii="Tahoma" w:hAnsi="Tahoma" w:cs="Tahoma"/>
        </w:rPr>
        <w:t>,</w:t>
      </w:r>
      <w:r>
        <w:rPr>
          <w:rFonts w:ascii="Tahoma" w:hAnsi="Tahoma" w:cs="Tahoma"/>
        </w:rPr>
        <w:t xml:space="preserve"> laisse le </w:t>
      </w:r>
      <w:r w:rsidR="00BB2CD7">
        <w:rPr>
          <w:rFonts w:ascii="Tahoma" w:hAnsi="Tahoma" w:cs="Tahoma"/>
        </w:rPr>
        <w:t xml:space="preserve">contrat </w:t>
      </w:r>
      <w:r w:rsidR="00E60E58">
        <w:rPr>
          <w:rFonts w:ascii="Tahoma" w:hAnsi="Tahoma" w:cs="Tahoma"/>
        </w:rPr>
        <w:t>B</w:t>
      </w:r>
      <w:r w:rsidR="00BB2CD7">
        <w:rPr>
          <w:rFonts w:ascii="Tahoma" w:hAnsi="Tahoma" w:cs="Tahoma"/>
        </w:rPr>
        <w:t>und</w:t>
      </w:r>
      <w:r>
        <w:rPr>
          <w:rFonts w:ascii="Tahoma" w:hAnsi="Tahoma" w:cs="Tahoma"/>
        </w:rPr>
        <w:t xml:space="preserve"> dans </w:t>
      </w:r>
      <w:r w:rsidR="00E60E58">
        <w:rPr>
          <w:rFonts w:ascii="Tahoma" w:hAnsi="Tahoma" w:cs="Tahoma"/>
        </w:rPr>
        <w:t>so</w:t>
      </w:r>
      <w:r>
        <w:rPr>
          <w:rFonts w:ascii="Tahoma" w:hAnsi="Tahoma" w:cs="Tahoma"/>
        </w:rPr>
        <w:t xml:space="preserve">n contexte sans conviction, où l’évolution des cours reste liée aux données fondamentales qui alimentent </w:t>
      </w:r>
      <w:r w:rsidR="00BB2CD7">
        <w:rPr>
          <w:rFonts w:ascii="Tahoma" w:hAnsi="Tahoma" w:cs="Tahoma"/>
        </w:rPr>
        <w:t>progressivement le marché</w:t>
      </w:r>
      <w:r w:rsidR="004B6C2E">
        <w:rPr>
          <w:rFonts w:ascii="Tahoma" w:hAnsi="Tahoma" w:cs="Tahoma"/>
        </w:rPr>
        <w:t xml:space="preserve"> en information.</w:t>
      </w:r>
    </w:p>
    <w:p w14:paraId="4F6A3BE8" w14:textId="741950D9" w:rsidR="007863D2" w:rsidRDefault="00F0735E" w:rsidP="00B41C02">
      <w:pPr>
        <w:jc w:val="both"/>
        <w:rPr>
          <w:rFonts w:ascii="Tahoma" w:hAnsi="Tahoma" w:cs="Tahoma"/>
        </w:rPr>
      </w:pPr>
      <w:r w:rsidRPr="00F0735E">
        <w:rPr>
          <w:rFonts w:ascii="Tahoma" w:hAnsi="Tahoma" w:cs="Tahoma"/>
        </w:rPr>
        <w:t>L</w:t>
      </w:r>
      <w:r>
        <w:rPr>
          <w:rFonts w:ascii="Tahoma" w:hAnsi="Tahoma" w:cs="Tahoma"/>
        </w:rPr>
        <w:t xml:space="preserve">a dernière longue bougie noire date du mois du mois de novembre dernier (T-6). Elle terminait une vague de baisse qui avait amené le contrat d’un niveau de 156.00 à une zone basse autour de 130.00. Depuis conviction et remise en question des précédents mouvements, ont dominé les échanges. Et même si les hausses temporaires n’ont pas été prolongées les mois suivants, on peut penser que le marché a dessiné une base de support sur les niveaux de 130.00. </w:t>
      </w:r>
    </w:p>
    <w:p w14:paraId="41936B0E" w14:textId="03DA694B" w:rsidR="00F0735E" w:rsidRPr="00F0735E" w:rsidRDefault="00F0735E" w:rsidP="00B41C02">
      <w:pPr>
        <w:jc w:val="both"/>
        <w:rPr>
          <w:rFonts w:ascii="Tahoma" w:hAnsi="Tahoma" w:cs="Tahoma"/>
        </w:rPr>
      </w:pPr>
      <w:r>
        <w:rPr>
          <w:rFonts w:ascii="Tahoma" w:hAnsi="Tahoma" w:cs="Tahoma"/>
        </w:rPr>
        <w:t xml:space="preserve">Cela étant dit, cette base pourra servir aux futurs acheteurs pour ouvrir ou renforcer des positions longues. Et bien que le contexte de long terme </w:t>
      </w:r>
      <w:r w:rsidR="004B6C2E">
        <w:rPr>
          <w:rFonts w:ascii="Tahoma" w:hAnsi="Tahoma" w:cs="Tahoma"/>
        </w:rPr>
        <w:t>soi</w:t>
      </w:r>
      <w:r>
        <w:rPr>
          <w:rFonts w:ascii="Tahoma" w:hAnsi="Tahoma" w:cs="Tahoma"/>
        </w:rPr>
        <w:t xml:space="preserve">t toujours baissier avec des cours et une LS qui évoluent sous leur nuage respectif, </w:t>
      </w:r>
      <w:r w:rsidR="00CA3AF1">
        <w:rPr>
          <w:rFonts w:ascii="Tahoma" w:hAnsi="Tahoma" w:cs="Tahoma"/>
        </w:rPr>
        <w:t>l’aplatissement de la KS sur 150.19 pourra toujours servir d’objectif tant que la zone de</w:t>
      </w:r>
      <w:r w:rsidR="004B6C2E">
        <w:rPr>
          <w:rFonts w:ascii="Tahoma" w:hAnsi="Tahoma" w:cs="Tahoma"/>
        </w:rPr>
        <w:t>s</w:t>
      </w:r>
      <w:r w:rsidR="00CA3AF1">
        <w:rPr>
          <w:rFonts w:ascii="Tahoma" w:hAnsi="Tahoma" w:cs="Tahoma"/>
        </w:rPr>
        <w:t xml:space="preserve"> 130.00 ne sera pas franchie.</w:t>
      </w:r>
    </w:p>
    <w:p w14:paraId="5AC064CF" w14:textId="77777777" w:rsidR="007863D2" w:rsidRDefault="007863D2" w:rsidP="00B41C02">
      <w:pPr>
        <w:jc w:val="both"/>
        <w:rPr>
          <w:rFonts w:ascii="Tahoma" w:hAnsi="Tahoma" w:cs="Tahoma"/>
          <w:sz w:val="32"/>
          <w:szCs w:val="32"/>
          <w:u w:val="single"/>
        </w:rPr>
      </w:pPr>
    </w:p>
    <w:p w14:paraId="684AA6A4" w14:textId="77777777" w:rsidR="007863D2" w:rsidRDefault="007863D2" w:rsidP="00B41C02">
      <w:pPr>
        <w:jc w:val="both"/>
        <w:rPr>
          <w:rFonts w:ascii="Tahoma" w:hAnsi="Tahoma" w:cs="Tahoma"/>
          <w:sz w:val="32"/>
          <w:szCs w:val="32"/>
          <w:u w:val="single"/>
        </w:rPr>
      </w:pPr>
    </w:p>
    <w:p w14:paraId="6A0F7EC2" w14:textId="21E84FD0" w:rsidR="00902D2F" w:rsidRPr="00041E45" w:rsidRDefault="00902D2F" w:rsidP="00B41C02">
      <w:pPr>
        <w:jc w:val="both"/>
        <w:rPr>
          <w:rFonts w:ascii="Tahoma" w:hAnsi="Tahoma" w:cs="Tahoma"/>
          <w:sz w:val="32"/>
          <w:szCs w:val="32"/>
          <w:u w:val="single"/>
        </w:rPr>
      </w:pPr>
      <w:bookmarkStart w:id="0" w:name="_Hlk136766816"/>
      <w:r w:rsidRPr="00041E45">
        <w:rPr>
          <w:rFonts w:ascii="Tahoma" w:hAnsi="Tahoma" w:cs="Tahoma"/>
          <w:sz w:val="32"/>
          <w:szCs w:val="32"/>
          <w:u w:val="single"/>
        </w:rPr>
        <w:t>Week</w:t>
      </w:r>
    </w:p>
    <w:p w14:paraId="2862B446" w14:textId="2E420A05" w:rsidR="00902D2F" w:rsidRDefault="00892E69" w:rsidP="00B41C02">
      <w:pPr>
        <w:jc w:val="both"/>
        <w:rPr>
          <w:rFonts w:ascii="Tahoma" w:hAnsi="Tahoma" w:cs="Tahoma"/>
        </w:rPr>
      </w:pPr>
      <w:r>
        <w:rPr>
          <w:noProof/>
        </w:rPr>
        <w:lastRenderedPageBreak/>
        <w:drawing>
          <wp:inline distT="0" distB="0" distL="0" distR="0" wp14:anchorId="03AE7DEA" wp14:editId="2A9FD49C">
            <wp:extent cx="5760720" cy="4320540"/>
            <wp:effectExtent l="0" t="0" r="0" b="3810"/>
            <wp:docPr id="159055896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03B99659" w:rsidR="00DF072F" w:rsidRDefault="00BB6D9D" w:rsidP="00B41C02">
      <w:pPr>
        <w:jc w:val="both"/>
        <w:rPr>
          <w:rFonts w:ascii="Tahoma" w:hAnsi="Tahoma" w:cs="Tahoma"/>
        </w:rPr>
      </w:pPr>
      <w:r>
        <w:rPr>
          <w:rFonts w:ascii="Tahoma" w:hAnsi="Tahoma" w:cs="Tahoma"/>
        </w:rPr>
        <w:t xml:space="preserve"> </w:t>
      </w:r>
      <w:r w:rsidR="00210CA1">
        <w:rPr>
          <w:rFonts w:ascii="Tahoma" w:hAnsi="Tahoma" w:cs="Tahoma"/>
        </w:rPr>
        <w:t>Sur le moyen terme, j’ai cadré les cours entre 132.17 et 137.59.</w:t>
      </w:r>
    </w:p>
    <w:p w14:paraId="2915FCC6" w14:textId="72AB167E" w:rsidR="00210CA1" w:rsidRDefault="00210CA1" w:rsidP="00B41C02">
      <w:pPr>
        <w:jc w:val="both"/>
        <w:rPr>
          <w:rFonts w:ascii="Tahoma" w:hAnsi="Tahoma" w:cs="Tahoma"/>
        </w:rPr>
      </w:pPr>
      <w:r>
        <w:rPr>
          <w:rFonts w:ascii="Tahoma" w:hAnsi="Tahoma" w:cs="Tahoma"/>
        </w:rPr>
        <w:t>La dernière chandelle, positive n’apporte pas grand-chose dans la dynamique des prix. Comme on peut l’observer, la précédente séance de baisse a été suivie d’un rebond avant de repartir à la baisse. Ce</w:t>
      </w:r>
      <w:r w:rsidR="00E60E58">
        <w:rPr>
          <w:rFonts w:ascii="Tahoma" w:hAnsi="Tahoma" w:cs="Tahoma"/>
        </w:rPr>
        <w:t xml:space="preserve">tte dynamique de mouvement </w:t>
      </w:r>
      <w:r w:rsidR="00D63C81">
        <w:rPr>
          <w:rFonts w:ascii="Tahoma" w:hAnsi="Tahoma" w:cs="Tahoma"/>
        </w:rPr>
        <w:t>a</w:t>
      </w:r>
      <w:r w:rsidR="00E60E58">
        <w:rPr>
          <w:rFonts w:ascii="Tahoma" w:hAnsi="Tahoma" w:cs="Tahoma"/>
        </w:rPr>
        <w:t xml:space="preserve"> pris forme</w:t>
      </w:r>
      <w:r>
        <w:rPr>
          <w:rFonts w:ascii="Tahoma" w:hAnsi="Tahoma" w:cs="Tahoma"/>
        </w:rPr>
        <w:t xml:space="preserve"> entre le support de 132.17 et la résistance de 137.59.</w:t>
      </w:r>
    </w:p>
    <w:p w14:paraId="608E0123" w14:textId="0397B027" w:rsidR="00210CA1" w:rsidRDefault="00210CA1" w:rsidP="00B41C02">
      <w:pPr>
        <w:jc w:val="both"/>
        <w:rPr>
          <w:rFonts w:ascii="Tahoma" w:hAnsi="Tahoma" w:cs="Tahoma"/>
        </w:rPr>
      </w:pPr>
      <w:r>
        <w:rPr>
          <w:rFonts w:ascii="Tahoma" w:hAnsi="Tahoma" w:cs="Tahoma"/>
        </w:rPr>
        <w:t xml:space="preserve">Je garderai un biais neutre sur cette échéance tant que le contrat n’aura pas dépassé cette zone et développé une vague directionnelle </w:t>
      </w:r>
      <w:r w:rsidR="00D63C81">
        <w:rPr>
          <w:rFonts w:ascii="Tahoma" w:hAnsi="Tahoma" w:cs="Tahoma"/>
        </w:rPr>
        <w:t>au-delà</w:t>
      </w:r>
      <w:r>
        <w:rPr>
          <w:rFonts w:ascii="Tahoma" w:hAnsi="Tahoma" w:cs="Tahoma"/>
        </w:rPr>
        <w:t xml:space="preserve"> d’un de ces deux points.</w:t>
      </w:r>
    </w:p>
    <w:p w14:paraId="53DD331F" w14:textId="3E1B8D0C" w:rsidR="00210CA1" w:rsidRDefault="00210CA1" w:rsidP="00B41C02">
      <w:pPr>
        <w:jc w:val="both"/>
        <w:rPr>
          <w:rFonts w:ascii="Tahoma" w:hAnsi="Tahoma" w:cs="Tahoma"/>
        </w:rPr>
      </w:pPr>
      <w:r>
        <w:rPr>
          <w:rFonts w:ascii="Tahoma" w:hAnsi="Tahoma" w:cs="Tahoma"/>
        </w:rPr>
        <w:t xml:space="preserve">Plat de KS et </w:t>
      </w:r>
      <w:r w:rsidR="00F20347">
        <w:rPr>
          <w:rFonts w:ascii="Tahoma" w:hAnsi="Tahoma" w:cs="Tahoma"/>
        </w:rPr>
        <w:t xml:space="preserve">une </w:t>
      </w:r>
      <w:r>
        <w:rPr>
          <w:rFonts w:ascii="Tahoma" w:hAnsi="Tahoma" w:cs="Tahoma"/>
        </w:rPr>
        <w:t>TS qui n’est plus vraiment en tendance, soutiennent l’idée d’absence de conviction directionnelle et favorise le maintien des cours au sein de la dérive latérale.</w:t>
      </w:r>
    </w:p>
    <w:bookmarkEnd w:id="0"/>
    <w:p w14:paraId="10BB9766" w14:textId="77777777" w:rsidR="00723F77" w:rsidRDefault="00723F77" w:rsidP="00041E45">
      <w:pPr>
        <w:jc w:val="both"/>
        <w:rPr>
          <w:rFonts w:ascii="Tahoma" w:hAnsi="Tahoma" w:cs="Tahoma"/>
        </w:rPr>
      </w:pPr>
    </w:p>
    <w:p w14:paraId="258EB8FF" w14:textId="0887B9BB"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4546B3">
        <w:rPr>
          <w:rFonts w:ascii="Tahoma" w:hAnsi="Tahoma" w:cs="Tahoma"/>
        </w:rPr>
        <w:t xml:space="preserve"> </w:t>
      </w:r>
      <w:r w:rsidR="00EB5079">
        <w:rPr>
          <w:rFonts w:ascii="Tahoma" w:hAnsi="Tahoma" w:cs="Tahoma"/>
        </w:rPr>
        <w:t>F</w:t>
      </w:r>
      <w:r w:rsidR="004546B3">
        <w:rPr>
          <w:rFonts w:ascii="Tahoma" w:hAnsi="Tahoma" w:cs="Tahoma"/>
        </w:rPr>
        <w:t xml:space="preserve">in de la vague de baisse de long terme en maintien des cours </w:t>
      </w:r>
      <w:r w:rsidR="00D63C81">
        <w:rPr>
          <w:rFonts w:ascii="Tahoma" w:hAnsi="Tahoma" w:cs="Tahoma"/>
        </w:rPr>
        <w:t>au-dessus</w:t>
      </w:r>
      <w:r w:rsidR="004546B3">
        <w:rPr>
          <w:rFonts w:ascii="Tahoma" w:hAnsi="Tahoma" w:cs="Tahoma"/>
        </w:rPr>
        <w:t xml:space="preserve"> de la zone support des 130.00. Pour autant, l’absence de conviction sur le moyen terme ne permet pas encore d’envisager la hausse du contrat en tenue de 130.00. Dans ce contexte, une consolidation peut prendre forme entre 132.17 et 13</w:t>
      </w:r>
      <w:r w:rsidR="005E4DA7">
        <w:rPr>
          <w:rFonts w:ascii="Tahoma" w:hAnsi="Tahoma" w:cs="Tahoma"/>
        </w:rPr>
        <w:t>7</w:t>
      </w:r>
      <w:r w:rsidR="004546B3">
        <w:rPr>
          <w:rFonts w:ascii="Tahoma" w:hAnsi="Tahoma" w:cs="Tahoma"/>
        </w:rPr>
        <w:t>.5</w:t>
      </w:r>
      <w:r w:rsidR="005E4DA7">
        <w:rPr>
          <w:rFonts w:ascii="Tahoma" w:hAnsi="Tahoma" w:cs="Tahoma"/>
        </w:rPr>
        <w:t>9</w:t>
      </w:r>
      <w:r w:rsidR="004546B3">
        <w:rPr>
          <w:rFonts w:ascii="Tahoma" w:hAnsi="Tahoma" w:cs="Tahoma"/>
        </w:rPr>
        <w:t>.</w:t>
      </w:r>
    </w:p>
    <w:p w14:paraId="2E975A96" w14:textId="77777777" w:rsidR="00EE6B93" w:rsidRDefault="00EE6B93" w:rsidP="00041E45">
      <w:pPr>
        <w:jc w:val="both"/>
        <w:rPr>
          <w:rFonts w:ascii="Tahoma" w:hAnsi="Tahoma" w:cs="Tahoma"/>
        </w:rPr>
      </w:pPr>
    </w:p>
    <w:p w14:paraId="195ADAF5" w14:textId="52B521C8" w:rsidR="00EE6B93" w:rsidRPr="00D63C81"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5A26EFF" w14:textId="77777777" w:rsidR="00EE6B93" w:rsidRDefault="00EE6B93" w:rsidP="00041E45">
      <w:pPr>
        <w:jc w:val="both"/>
        <w:rPr>
          <w:rFonts w:ascii="Tahoma" w:hAnsi="Tahoma" w:cs="Tahoma"/>
        </w:rPr>
      </w:pPr>
    </w:p>
    <w:p w14:paraId="22FFB91E" w14:textId="6D4D8A07" w:rsidR="00723F77" w:rsidRPr="00723F77" w:rsidRDefault="00723F77" w:rsidP="00723F77">
      <w:pPr>
        <w:jc w:val="both"/>
        <w:rPr>
          <w:rFonts w:ascii="Arial" w:eastAsia="Calibri" w:hAnsi="Arial" w:cs="Arial"/>
          <w:b/>
          <w:i/>
          <w:sz w:val="24"/>
          <w:szCs w:val="24"/>
          <w:lang w:eastAsia="fr-FR"/>
        </w:rPr>
      </w:pPr>
      <w:r w:rsidRPr="00723F77">
        <w:rPr>
          <w:rFonts w:ascii="Arial" w:eastAsia="Calibri" w:hAnsi="Arial" w:cs="Arial"/>
          <w:b/>
          <w:i/>
          <w:color w:val="993366"/>
          <w:sz w:val="24"/>
          <w:szCs w:val="24"/>
          <w:lang w:eastAsia="fr-FR"/>
        </w:rPr>
        <w:lastRenderedPageBreak/>
        <w:t>TS (mauve)</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71EA7"/>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10CA1"/>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546B3"/>
    <w:rsid w:val="00467005"/>
    <w:rsid w:val="004A2D2D"/>
    <w:rsid w:val="004A5154"/>
    <w:rsid w:val="004B6C2E"/>
    <w:rsid w:val="004F48EE"/>
    <w:rsid w:val="00531928"/>
    <w:rsid w:val="005440A4"/>
    <w:rsid w:val="00546A5A"/>
    <w:rsid w:val="00566580"/>
    <w:rsid w:val="00567AF3"/>
    <w:rsid w:val="00583BC8"/>
    <w:rsid w:val="005E4DA7"/>
    <w:rsid w:val="00654380"/>
    <w:rsid w:val="00664BE1"/>
    <w:rsid w:val="006B055C"/>
    <w:rsid w:val="006E32BB"/>
    <w:rsid w:val="006E38E0"/>
    <w:rsid w:val="00710599"/>
    <w:rsid w:val="00723F77"/>
    <w:rsid w:val="00744696"/>
    <w:rsid w:val="00772067"/>
    <w:rsid w:val="0077545D"/>
    <w:rsid w:val="007863D2"/>
    <w:rsid w:val="007A0A4B"/>
    <w:rsid w:val="007A0E6C"/>
    <w:rsid w:val="007B1237"/>
    <w:rsid w:val="007B661D"/>
    <w:rsid w:val="007D19FF"/>
    <w:rsid w:val="007D2085"/>
    <w:rsid w:val="007D4181"/>
    <w:rsid w:val="0083454A"/>
    <w:rsid w:val="00837B38"/>
    <w:rsid w:val="00892E69"/>
    <w:rsid w:val="00896554"/>
    <w:rsid w:val="008A7407"/>
    <w:rsid w:val="008F10C2"/>
    <w:rsid w:val="00902D2F"/>
    <w:rsid w:val="00961FDF"/>
    <w:rsid w:val="00983B7D"/>
    <w:rsid w:val="009A37C2"/>
    <w:rsid w:val="009F3AB8"/>
    <w:rsid w:val="00A11606"/>
    <w:rsid w:val="00A33754"/>
    <w:rsid w:val="00A6401C"/>
    <w:rsid w:val="00A81AB7"/>
    <w:rsid w:val="00AA522C"/>
    <w:rsid w:val="00AE7F3B"/>
    <w:rsid w:val="00B34260"/>
    <w:rsid w:val="00B41C02"/>
    <w:rsid w:val="00B4335A"/>
    <w:rsid w:val="00B50E38"/>
    <w:rsid w:val="00B554B8"/>
    <w:rsid w:val="00B64EE0"/>
    <w:rsid w:val="00B94D71"/>
    <w:rsid w:val="00BB0E32"/>
    <w:rsid w:val="00BB2CD7"/>
    <w:rsid w:val="00BB6D9D"/>
    <w:rsid w:val="00BC77A5"/>
    <w:rsid w:val="00BD3FC1"/>
    <w:rsid w:val="00C17ED7"/>
    <w:rsid w:val="00C41F15"/>
    <w:rsid w:val="00C70171"/>
    <w:rsid w:val="00C70A68"/>
    <w:rsid w:val="00C82E98"/>
    <w:rsid w:val="00CA3AF1"/>
    <w:rsid w:val="00CB17C9"/>
    <w:rsid w:val="00CC72FF"/>
    <w:rsid w:val="00CC7C21"/>
    <w:rsid w:val="00CE0886"/>
    <w:rsid w:val="00CF2516"/>
    <w:rsid w:val="00CF6D63"/>
    <w:rsid w:val="00D23B28"/>
    <w:rsid w:val="00D46C8D"/>
    <w:rsid w:val="00D63C81"/>
    <w:rsid w:val="00DA1359"/>
    <w:rsid w:val="00DE5444"/>
    <w:rsid w:val="00DF072F"/>
    <w:rsid w:val="00E32014"/>
    <w:rsid w:val="00E3727C"/>
    <w:rsid w:val="00E60E58"/>
    <w:rsid w:val="00EB5079"/>
    <w:rsid w:val="00EB58BA"/>
    <w:rsid w:val="00EE6B93"/>
    <w:rsid w:val="00F04A6E"/>
    <w:rsid w:val="00F04DEF"/>
    <w:rsid w:val="00F0735E"/>
    <w:rsid w:val="00F20347"/>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836</TotalTime>
  <Pages>3</Pages>
  <Words>466</Words>
  <Characters>2568</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2023-06-04T13:17:00Z</dcterms:modified>
</cp:coreProperties>
</file>