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63393F75" w:rsidR="00902D2F" w:rsidRDefault="00B67A88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41AD903F" wp14:editId="6489EB50">
            <wp:extent cx="5760720" cy="4320540"/>
            <wp:effectExtent l="0" t="0" r="0" b="3810"/>
            <wp:docPr id="832417943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FBA4A" w14:textId="77777777" w:rsidR="00790BC6" w:rsidRDefault="00790BC6" w:rsidP="00790BC6">
      <w:pPr>
        <w:jc w:val="both"/>
        <w:rPr>
          <w:rFonts w:ascii="Tahoma" w:hAnsi="Tahoma" w:cs="Tahoma"/>
          <w:i/>
          <w:iCs/>
          <w:color w:val="FF0000"/>
          <w:sz w:val="32"/>
          <w:szCs w:val="32"/>
        </w:rPr>
      </w:pPr>
    </w:p>
    <w:p w14:paraId="685822D0" w14:textId="3B7A98E7" w:rsidR="006E32BB" w:rsidRPr="00790BC6" w:rsidRDefault="00790BC6" w:rsidP="00B41C02">
      <w:pPr>
        <w:jc w:val="both"/>
        <w:rPr>
          <w:rFonts w:ascii="Tahoma" w:hAnsi="Tahoma" w:cs="Tahoma"/>
          <w:i/>
          <w:iCs/>
          <w:color w:val="FF0000"/>
          <w:sz w:val="32"/>
          <w:szCs w:val="32"/>
        </w:rPr>
      </w:pPr>
      <w:r w:rsidRPr="00B67A88">
        <w:rPr>
          <w:rFonts w:ascii="Tahoma" w:hAnsi="Tahoma" w:cs="Tahoma"/>
          <w:i/>
          <w:iCs/>
          <w:color w:val="FF0000"/>
          <w:sz w:val="32"/>
          <w:szCs w:val="32"/>
        </w:rPr>
        <w:t>Changement d’échéance</w:t>
      </w:r>
      <w:r>
        <w:rPr>
          <w:rFonts w:ascii="Tahoma" w:hAnsi="Tahoma" w:cs="Tahoma"/>
          <w:i/>
          <w:iCs/>
          <w:color w:val="FF0000"/>
          <w:sz w:val="32"/>
          <w:szCs w:val="32"/>
        </w:rPr>
        <w:t xml:space="preserve"> : </w:t>
      </w:r>
      <w:r w:rsidRPr="00B67A88">
        <w:rPr>
          <w:rFonts w:ascii="Tahoma" w:hAnsi="Tahoma" w:cs="Tahoma"/>
          <w:i/>
          <w:iCs/>
          <w:color w:val="FF0000"/>
          <w:sz w:val="32"/>
          <w:szCs w:val="32"/>
        </w:rPr>
        <w:t>septembre 2023</w:t>
      </w:r>
      <w:r>
        <w:rPr>
          <w:rFonts w:ascii="Tahoma" w:hAnsi="Tahoma" w:cs="Tahoma"/>
          <w:i/>
          <w:iCs/>
          <w:color w:val="FF0000"/>
          <w:sz w:val="32"/>
          <w:szCs w:val="32"/>
        </w:rPr>
        <w:t xml:space="preserve"> contre juin 2023</w:t>
      </w:r>
    </w:p>
    <w:p w14:paraId="7AC4D2D2" w14:textId="2926E53D" w:rsidR="00DF072F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B67A88">
        <w:rPr>
          <w:rFonts w:ascii="Tahoma" w:hAnsi="Tahoma" w:cs="Tahoma"/>
        </w:rPr>
        <w:t>I</w:t>
      </w:r>
      <w:r w:rsidR="00C3477D">
        <w:rPr>
          <w:rFonts w:ascii="Tahoma" w:hAnsi="Tahoma" w:cs="Tahoma"/>
        </w:rPr>
        <w:t>l</w:t>
      </w:r>
      <w:r w:rsidR="00B67A88">
        <w:rPr>
          <w:rFonts w:ascii="Tahoma" w:hAnsi="Tahoma" w:cs="Tahoma"/>
        </w:rPr>
        <w:t xml:space="preserve"> ne s’est pas passé grand-chose cette semaine sur l’évolution du contrat Bund (sept 23).</w:t>
      </w:r>
    </w:p>
    <w:p w14:paraId="5D86585F" w14:textId="63B30FE5" w:rsidR="00B67A88" w:rsidRDefault="00B67A88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dernière chandelle composée essentiellement d’une mèche basse, n’a pas de personnalité particulière vue sa position par rapport aux bougies qui </w:t>
      </w:r>
      <w:r w:rsidR="00F25A28">
        <w:rPr>
          <w:rFonts w:ascii="Tahoma" w:hAnsi="Tahoma" w:cs="Tahoma"/>
        </w:rPr>
        <w:t>la</w:t>
      </w:r>
      <w:r>
        <w:rPr>
          <w:rFonts w:ascii="Tahoma" w:hAnsi="Tahoma" w:cs="Tahoma"/>
        </w:rPr>
        <w:t xml:space="preserve"> précède.</w:t>
      </w:r>
    </w:p>
    <w:p w14:paraId="356F4FF4" w14:textId="43649389" w:rsidR="00B67A88" w:rsidRDefault="00B67A88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marché est cadré depuis plusieurs semaines entre un support et une résistance de long terme dont le changement d’échéance a modifié quelque peu les niveaux. Ainsi le support matérialisé par un plat de TS mensuel passe de 132.1</w:t>
      </w:r>
      <w:r w:rsidR="00E3675F">
        <w:rPr>
          <w:rFonts w:ascii="Tahoma" w:hAnsi="Tahoma" w:cs="Tahoma"/>
        </w:rPr>
        <w:t>7</w:t>
      </w:r>
      <w:r>
        <w:rPr>
          <w:rFonts w:ascii="Tahoma" w:hAnsi="Tahoma" w:cs="Tahoma"/>
        </w:rPr>
        <w:t xml:space="preserve"> à 131.10 et la résistance concrétisée par un plat de KS se situe maintenant sur 136.64 contre 137.90 précédemment.</w:t>
      </w:r>
    </w:p>
    <w:p w14:paraId="37A5736F" w14:textId="3F3A58DC" w:rsidR="00E3675F" w:rsidRDefault="00E3675F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Une dérive latérale se développe entre les bornes </w:t>
      </w:r>
      <w:r w:rsidR="00790BC6">
        <w:rPr>
          <w:rFonts w:ascii="Tahoma" w:hAnsi="Tahoma" w:cs="Tahoma"/>
        </w:rPr>
        <w:t xml:space="preserve">ainsi </w:t>
      </w:r>
      <w:r>
        <w:rPr>
          <w:rFonts w:ascii="Tahoma" w:hAnsi="Tahoma" w:cs="Tahoma"/>
        </w:rPr>
        <w:t xml:space="preserve">définies. Un dépassement toujours possible </w:t>
      </w:r>
      <w:r w:rsidR="00F25A28">
        <w:rPr>
          <w:rFonts w:ascii="Tahoma" w:hAnsi="Tahoma" w:cs="Tahoma"/>
        </w:rPr>
        <w:t>nécessitera</w:t>
      </w:r>
      <w:r>
        <w:rPr>
          <w:rFonts w:ascii="Tahoma" w:hAnsi="Tahoma" w:cs="Tahoma"/>
        </w:rPr>
        <w:t xml:space="preserve"> une confirmation. En effet comme nous pouvons le constater depuis le début de l’année, les ruptures ont toujours été remise en question la semaine suivante.</w:t>
      </w:r>
    </w:p>
    <w:p w14:paraId="299318E2" w14:textId="77777777" w:rsidR="00790BC6" w:rsidRDefault="00790BC6" w:rsidP="00B41C02">
      <w:pPr>
        <w:jc w:val="both"/>
        <w:rPr>
          <w:rFonts w:ascii="Tahoma" w:hAnsi="Tahoma" w:cs="Tahoma"/>
        </w:rPr>
      </w:pPr>
    </w:p>
    <w:p w14:paraId="7E84E1AE" w14:textId="77777777" w:rsidR="00B67A88" w:rsidRDefault="00B67A8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675B8DF" w14:textId="00148F2E" w:rsidR="00583BC8" w:rsidRDefault="00B67A88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F39D8A7" wp14:editId="558A9B68">
            <wp:extent cx="5760720" cy="4320540"/>
            <wp:effectExtent l="0" t="0" r="0" b="3810"/>
            <wp:docPr id="1489633008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67B8B186" w14:textId="5E1BE947" w:rsidR="00467005" w:rsidRDefault="004A2D2D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</w:t>
      </w:r>
      <w:r w:rsidR="00B41622">
        <w:rPr>
          <w:rFonts w:ascii="Tahoma" w:hAnsi="Tahoma" w:cs="Tahoma"/>
        </w:rPr>
        <w:t>ur un horizon plus court,</w:t>
      </w:r>
      <w:r w:rsidR="009112D9">
        <w:rPr>
          <w:rFonts w:ascii="Tahoma" w:hAnsi="Tahoma" w:cs="Tahoma"/>
        </w:rPr>
        <w:t xml:space="preserve"> depuis le mois d’avril,</w:t>
      </w:r>
      <w:r w:rsidR="00B41622">
        <w:rPr>
          <w:rFonts w:ascii="Tahoma" w:hAnsi="Tahoma" w:cs="Tahoma"/>
        </w:rPr>
        <w:t xml:space="preserve"> le marché peut </w:t>
      </w:r>
      <w:r w:rsidR="00F25A28">
        <w:rPr>
          <w:rFonts w:ascii="Tahoma" w:hAnsi="Tahoma" w:cs="Tahoma"/>
        </w:rPr>
        <w:t>être</w:t>
      </w:r>
      <w:r w:rsidR="00B41622">
        <w:rPr>
          <w:rFonts w:ascii="Tahoma" w:hAnsi="Tahoma" w:cs="Tahoma"/>
        </w:rPr>
        <w:t xml:space="preserve"> cadré au sein d’une dérive latérale </w:t>
      </w:r>
      <w:r w:rsidR="009112D9">
        <w:rPr>
          <w:rFonts w:ascii="Tahoma" w:hAnsi="Tahoma" w:cs="Tahoma"/>
        </w:rPr>
        <w:t>bornée par un support sur 132.10 et une résistance sur 136.00. La zone d’équilibre est représentée par le plat de SSB de 134.38.</w:t>
      </w:r>
    </w:p>
    <w:p w14:paraId="118DA8B5" w14:textId="78E44184" w:rsidR="009112D9" w:rsidRDefault="009112D9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le passage de la zone d’équilibre permettra d’envisager une hausse des prix sur la résistance de 136.00. </w:t>
      </w:r>
      <w:r w:rsidR="00790BC6">
        <w:rPr>
          <w:rFonts w:ascii="Tahoma" w:hAnsi="Tahoma" w:cs="Tahoma"/>
        </w:rPr>
        <w:t>L</w:t>
      </w:r>
      <w:r>
        <w:rPr>
          <w:rFonts w:ascii="Tahoma" w:hAnsi="Tahoma" w:cs="Tahoma"/>
        </w:rPr>
        <w:t>e maintien du contrat sous 134.38 avantagera le biais baissier sur le support de 132.10.</w:t>
      </w:r>
    </w:p>
    <w:p w14:paraId="14E4125D" w14:textId="788BC88F" w:rsidR="009112D9" w:rsidRDefault="009112D9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soit, 132.10 et 136.00 ne resteront que des points </w:t>
      </w:r>
      <w:r w:rsidR="00CC75D3">
        <w:rPr>
          <w:rFonts w:ascii="Tahoma" w:hAnsi="Tahoma" w:cs="Tahoma"/>
        </w:rPr>
        <w:t xml:space="preserve">intermédiaires où le franchissement </w:t>
      </w:r>
      <w:r w:rsidR="00790BC6">
        <w:rPr>
          <w:rFonts w:ascii="Tahoma" w:hAnsi="Tahoma" w:cs="Tahoma"/>
        </w:rPr>
        <w:t>n’</w:t>
      </w:r>
      <w:r w:rsidR="00CC75D3">
        <w:rPr>
          <w:rFonts w:ascii="Tahoma" w:hAnsi="Tahoma" w:cs="Tahoma"/>
        </w:rPr>
        <w:t>aura pour signification qu’un retour sur le support ou la résistance de long terme respectivement de 131.10 et 136.64.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0237F078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074D74">
        <w:rPr>
          <w:rFonts w:ascii="Tahoma" w:hAnsi="Tahoma" w:cs="Tahoma"/>
        </w:rPr>
        <w:t xml:space="preserve"> 134.38</w:t>
      </w:r>
      <w:r w:rsidR="00F25A28">
        <w:rPr>
          <w:rFonts w:ascii="Tahoma" w:hAnsi="Tahoma" w:cs="Tahoma"/>
        </w:rPr>
        <w:t>,</w:t>
      </w:r>
      <w:r w:rsidR="00074D74">
        <w:rPr>
          <w:rFonts w:ascii="Tahoma" w:hAnsi="Tahoma" w:cs="Tahoma"/>
        </w:rPr>
        <w:t xml:space="preserve"> point d’équilibre d’une dérive latérale de court terme. 132.10 support intermédiaire avant 131.10</w:t>
      </w:r>
      <w:r w:rsidR="00790BC6">
        <w:rPr>
          <w:rFonts w:ascii="Tahoma" w:hAnsi="Tahoma" w:cs="Tahoma"/>
        </w:rPr>
        <w:t xml:space="preserve"> et </w:t>
      </w:r>
      <w:r w:rsidR="00074D74">
        <w:rPr>
          <w:rFonts w:ascii="Tahoma" w:hAnsi="Tahoma" w:cs="Tahoma"/>
        </w:rPr>
        <w:t>136.00 résistance intermédiaire avant 136.64.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A67424C" w:rsid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22E36CD5" w14:textId="77777777" w:rsidR="00790BC6" w:rsidRPr="00B7178C" w:rsidRDefault="00790BC6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74D74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40171B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654380"/>
    <w:rsid w:val="00664BE1"/>
    <w:rsid w:val="006A2A76"/>
    <w:rsid w:val="006B055C"/>
    <w:rsid w:val="006E32BB"/>
    <w:rsid w:val="006E38E0"/>
    <w:rsid w:val="00710599"/>
    <w:rsid w:val="00723F77"/>
    <w:rsid w:val="00744696"/>
    <w:rsid w:val="00772067"/>
    <w:rsid w:val="0077545D"/>
    <w:rsid w:val="00790BC6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F10C2"/>
    <w:rsid w:val="00902D2F"/>
    <w:rsid w:val="009112D9"/>
    <w:rsid w:val="00961FDF"/>
    <w:rsid w:val="00983B7D"/>
    <w:rsid w:val="009A37C2"/>
    <w:rsid w:val="009F3AB8"/>
    <w:rsid w:val="00A11606"/>
    <w:rsid w:val="00A6401C"/>
    <w:rsid w:val="00A81AB7"/>
    <w:rsid w:val="00AA522C"/>
    <w:rsid w:val="00AE7F3B"/>
    <w:rsid w:val="00B34260"/>
    <w:rsid w:val="00B41622"/>
    <w:rsid w:val="00B41C02"/>
    <w:rsid w:val="00B4335A"/>
    <w:rsid w:val="00B50E38"/>
    <w:rsid w:val="00B554B8"/>
    <w:rsid w:val="00B64EE0"/>
    <w:rsid w:val="00B67A88"/>
    <w:rsid w:val="00B7178C"/>
    <w:rsid w:val="00B94D71"/>
    <w:rsid w:val="00BB0E32"/>
    <w:rsid w:val="00BB6D9D"/>
    <w:rsid w:val="00BC77A5"/>
    <w:rsid w:val="00BD3FC1"/>
    <w:rsid w:val="00C17ED7"/>
    <w:rsid w:val="00C3477D"/>
    <w:rsid w:val="00C41F15"/>
    <w:rsid w:val="00C70171"/>
    <w:rsid w:val="00C70A68"/>
    <w:rsid w:val="00C82E98"/>
    <w:rsid w:val="00CB17C9"/>
    <w:rsid w:val="00CC72FF"/>
    <w:rsid w:val="00CC75D3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32014"/>
    <w:rsid w:val="00E3675F"/>
    <w:rsid w:val="00E3727C"/>
    <w:rsid w:val="00EB58BA"/>
    <w:rsid w:val="00EE6B93"/>
    <w:rsid w:val="00F04A6E"/>
    <w:rsid w:val="00F04DEF"/>
    <w:rsid w:val="00F25A28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3</Pages>
  <Words>415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105</cp:revision>
  <dcterms:created xsi:type="dcterms:W3CDTF">2021-11-25T09:44:00Z</dcterms:created>
  <dcterms:modified xsi:type="dcterms:W3CDTF">2023-06-10T13:37:00Z</dcterms:modified>
</cp:coreProperties>
</file>