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83D7A42" w:rsidR="00902D2F" w:rsidRDefault="009C533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3A8CAB2" wp14:editId="297990AC">
            <wp:extent cx="6441440" cy="4831080"/>
            <wp:effectExtent l="0" t="0" r="0" b="7620"/>
            <wp:docPr id="192007392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44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34C323D2" w14:textId="3B4B96F2" w:rsidR="00605047" w:rsidRDefault="006050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BCE a tenu son meeting cette semaine et a augmenté ses taux directeurs </w:t>
      </w:r>
      <w:r w:rsidR="00301BFC">
        <w:rPr>
          <w:rFonts w:ascii="Tahoma" w:hAnsi="Tahoma" w:cs="Tahoma"/>
        </w:rPr>
        <w:t xml:space="preserve">de 25 pbs </w:t>
      </w:r>
      <w:r w:rsidR="005E1C89">
        <w:rPr>
          <w:rFonts w:ascii="Tahoma" w:hAnsi="Tahoma" w:cs="Tahoma"/>
        </w:rPr>
        <w:t>annonçant lors de sa conférence de presse des hausses à venir.</w:t>
      </w:r>
    </w:p>
    <w:p w14:paraId="7AC4D2D2" w14:textId="36CF3466" w:rsidR="00DF072F" w:rsidRDefault="005E1C8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Pourtant a</w:t>
      </w:r>
      <w:r w:rsidR="001B1FBC">
        <w:rPr>
          <w:rFonts w:ascii="Tahoma" w:hAnsi="Tahoma" w:cs="Tahoma"/>
        </w:rPr>
        <w:t xml:space="preserve">ucune évolution notable </w:t>
      </w:r>
      <w:r w:rsidR="00301BFC">
        <w:rPr>
          <w:rFonts w:ascii="Tahoma" w:hAnsi="Tahoma" w:cs="Tahoma"/>
        </w:rPr>
        <w:t>n’</w:t>
      </w:r>
      <w:r>
        <w:rPr>
          <w:rFonts w:ascii="Tahoma" w:hAnsi="Tahoma" w:cs="Tahoma"/>
        </w:rPr>
        <w:t>est visible s</w:t>
      </w:r>
      <w:r w:rsidR="001B1FBC">
        <w:rPr>
          <w:rFonts w:ascii="Tahoma" w:hAnsi="Tahoma" w:cs="Tahoma"/>
        </w:rPr>
        <w:t>ur le contrat Bund qui continue de se maintenir au sein d’une bande horizontale comprise entre 136.64 et 131.10.</w:t>
      </w:r>
    </w:p>
    <w:p w14:paraId="7497F881" w14:textId="0ED9C26C" w:rsidR="004B6D60" w:rsidRDefault="004B6D6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revient un peu plus sur la </w:t>
      </w:r>
      <w:r w:rsidR="001C0CD6">
        <w:rPr>
          <w:rFonts w:ascii="Tahoma" w:hAnsi="Tahoma" w:cs="Tahoma"/>
        </w:rPr>
        <w:t xml:space="preserve">précédente </w:t>
      </w:r>
      <w:r>
        <w:rPr>
          <w:rFonts w:ascii="Tahoma" w:hAnsi="Tahoma" w:cs="Tahoma"/>
        </w:rPr>
        <w:t xml:space="preserve">bougie blanche </w:t>
      </w:r>
      <w:r w:rsidR="00D855D3">
        <w:rPr>
          <w:rFonts w:ascii="Tahoma" w:hAnsi="Tahoma" w:cs="Tahoma"/>
        </w:rPr>
        <w:t>(T-3) sans pour autant parvenir à la remettre en question, comme le montre sa mèche basse.</w:t>
      </w:r>
    </w:p>
    <w:p w14:paraId="56E514C4" w14:textId="6D6DC90B" w:rsidR="006A7B57" w:rsidRDefault="00EE6DE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 le court terme nous apporte plus d’</w:t>
      </w:r>
      <w:r w:rsidR="004C4F5B">
        <w:rPr>
          <w:rFonts w:ascii="Tahoma" w:hAnsi="Tahoma" w:cs="Tahoma"/>
        </w:rPr>
        <w:t>éléments</w:t>
      </w:r>
      <w:r>
        <w:rPr>
          <w:rFonts w:ascii="Tahoma" w:hAnsi="Tahoma" w:cs="Tahoma"/>
        </w:rPr>
        <w:t>. Il  permet de cadrer l’évolution du contrat</w:t>
      </w:r>
      <w:r w:rsidR="007A46E2">
        <w:rPr>
          <w:rFonts w:ascii="Tahoma" w:hAnsi="Tahoma" w:cs="Tahoma"/>
        </w:rPr>
        <w:t xml:space="preserve"> plus </w:t>
      </w:r>
      <w:r w:rsidR="00301BFC">
        <w:rPr>
          <w:rFonts w:ascii="Tahoma" w:hAnsi="Tahoma" w:cs="Tahoma"/>
        </w:rPr>
        <w:t>précisément</w:t>
      </w:r>
      <w:r>
        <w:rPr>
          <w:rFonts w:ascii="Tahoma" w:hAnsi="Tahoma" w:cs="Tahoma"/>
        </w:rPr>
        <w:t xml:space="preserve"> entre 132.10 et 136.00.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5235806" w14:textId="77777777" w:rsidR="0078431E" w:rsidRDefault="0078431E" w:rsidP="00B41C02">
      <w:pPr>
        <w:jc w:val="both"/>
        <w:rPr>
          <w:rFonts w:ascii="Tahoma" w:hAnsi="Tahoma" w:cs="Tahoma"/>
        </w:rPr>
      </w:pPr>
    </w:p>
    <w:p w14:paraId="13A8D974" w14:textId="77777777" w:rsidR="0078431E" w:rsidRDefault="0078431E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31FAB0E6" w:rsidR="00583BC8" w:rsidRDefault="009C533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DD9A818" wp14:editId="5B719221">
            <wp:extent cx="6380480" cy="4785360"/>
            <wp:effectExtent l="0" t="0" r="1270" b="0"/>
            <wp:docPr id="22742666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478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3EB3278B" w:rsidR="00467005" w:rsidRDefault="00D255B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je l’ai mentionné dans la partie moyen terme, la dynamique des prix évolue au sein d’une dérive latérale compris entre 132.10 et 136.00.</w:t>
      </w:r>
    </w:p>
    <w:p w14:paraId="2791F699" w14:textId="486F19E0" w:rsidR="00BB6F9D" w:rsidRDefault="00BB6F9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On observe trois impacts sur </w:t>
      </w:r>
      <w:r w:rsidR="007A46E2">
        <w:rPr>
          <w:rFonts w:ascii="Tahoma" w:hAnsi="Tahoma" w:cs="Tahoma"/>
        </w:rPr>
        <w:t xml:space="preserve">le niveau de </w:t>
      </w:r>
      <w:r>
        <w:rPr>
          <w:rFonts w:ascii="Tahoma" w:hAnsi="Tahoma" w:cs="Tahoma"/>
        </w:rPr>
        <w:t xml:space="preserve">132.10 alors que </w:t>
      </w:r>
      <w:r w:rsidR="007A46E2">
        <w:rPr>
          <w:rFonts w:ascii="Tahoma" w:hAnsi="Tahoma" w:cs="Tahoma"/>
        </w:rPr>
        <w:t>celui</w:t>
      </w:r>
      <w:r>
        <w:rPr>
          <w:rFonts w:ascii="Tahoma" w:hAnsi="Tahoma" w:cs="Tahoma"/>
        </w:rPr>
        <w:t xml:space="preserve"> des 136.00 reprend une petite </w:t>
      </w:r>
      <w:r w:rsidR="004C4F5B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(gap) ouverte le 11 avril entre 136.00 et 135.93</w:t>
      </w:r>
      <w:r w:rsidR="007A46E2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7A46E2">
        <w:rPr>
          <w:rFonts w:ascii="Tahoma" w:hAnsi="Tahoma" w:cs="Tahoma"/>
        </w:rPr>
        <w:t>P</w:t>
      </w:r>
      <w:r>
        <w:rPr>
          <w:rFonts w:ascii="Tahoma" w:hAnsi="Tahoma" w:cs="Tahoma"/>
        </w:rPr>
        <w:t>our l’instant n’a pas été invalidée au sens strict de l’analyse en chandeliers.</w:t>
      </w:r>
    </w:p>
    <w:p w14:paraId="0724E00D" w14:textId="0D154FB0" w:rsidR="001175D5" w:rsidRDefault="00BB6F9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</w:t>
      </w:r>
      <w:r w:rsidR="007A46E2">
        <w:rPr>
          <w:rFonts w:ascii="Tahoma" w:hAnsi="Tahoma" w:cs="Tahoma"/>
        </w:rPr>
        <w:t xml:space="preserve"> le plat de SSB de 134.38 représentera la zone d’équilibre de la consolidation.</w:t>
      </w:r>
      <w:r>
        <w:rPr>
          <w:rFonts w:ascii="Tahoma" w:hAnsi="Tahoma" w:cs="Tahoma"/>
        </w:rPr>
        <w:t xml:space="preserve"> </w:t>
      </w:r>
      <w:r w:rsidR="007A46E2">
        <w:rPr>
          <w:rFonts w:ascii="Tahoma" w:hAnsi="Tahoma" w:cs="Tahoma"/>
        </w:rPr>
        <w:t>E</w:t>
      </w:r>
      <w:r w:rsidR="001175D5">
        <w:rPr>
          <w:rFonts w:ascii="Tahoma" w:hAnsi="Tahoma" w:cs="Tahoma"/>
        </w:rPr>
        <w:t xml:space="preserve">n fonction du positionnement des prix par rapport à 134.38, une hausse du contrat sera envisagée dans un premier temps sur 136.00 voir 136.64 en rupture. </w:t>
      </w:r>
      <w:r w:rsidR="007A46E2">
        <w:rPr>
          <w:rFonts w:ascii="Tahoma" w:hAnsi="Tahoma" w:cs="Tahoma"/>
        </w:rPr>
        <w:t>A l’opposée, s</w:t>
      </w:r>
      <w:r w:rsidR="001175D5">
        <w:rPr>
          <w:rFonts w:ascii="Tahoma" w:hAnsi="Tahoma" w:cs="Tahoma"/>
        </w:rPr>
        <w:t xml:space="preserve">ous 134.38, la cible la plus probable sera 132.10 avec </w:t>
      </w:r>
      <w:r w:rsidR="007A46E2">
        <w:rPr>
          <w:rFonts w:ascii="Tahoma" w:hAnsi="Tahoma" w:cs="Tahoma"/>
        </w:rPr>
        <w:t xml:space="preserve">par la suite </w:t>
      </w:r>
      <w:r w:rsidR="001175D5">
        <w:rPr>
          <w:rFonts w:ascii="Tahoma" w:hAnsi="Tahoma" w:cs="Tahoma"/>
        </w:rPr>
        <w:t>131.10 dans l’</w:t>
      </w:r>
      <w:r w:rsidR="004C4F5B">
        <w:rPr>
          <w:rFonts w:ascii="Tahoma" w:hAnsi="Tahoma" w:cs="Tahoma"/>
        </w:rPr>
        <w:t>éventualité</w:t>
      </w:r>
      <w:r w:rsidR="001175D5">
        <w:rPr>
          <w:rFonts w:ascii="Tahoma" w:hAnsi="Tahoma" w:cs="Tahoma"/>
        </w:rPr>
        <w:t xml:space="preserve"> d’une cassure.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4C7611F0" w14:textId="7A81C74E" w:rsidR="00AE6A07" w:rsidRPr="00AE6A07" w:rsidRDefault="00B94D71" w:rsidP="00AE6A07">
      <w:pPr>
        <w:jc w:val="both"/>
        <w:rPr>
          <w:rFonts w:ascii="Tahoma" w:hAnsi="Tahoma" w:cs="Tahoma"/>
          <w:i/>
          <w:iCs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E6A07">
        <w:rPr>
          <w:rFonts w:ascii="Tahoma" w:hAnsi="Tahoma" w:cs="Tahoma"/>
        </w:rPr>
        <w:t xml:space="preserve"> </w:t>
      </w:r>
      <w:r w:rsidR="00012F04">
        <w:rPr>
          <w:rFonts w:ascii="Tahoma" w:hAnsi="Tahoma" w:cs="Tahoma"/>
        </w:rPr>
        <w:t>P</w:t>
      </w:r>
      <w:r w:rsidR="00AE6A07">
        <w:rPr>
          <w:rFonts w:ascii="Tahoma" w:hAnsi="Tahoma" w:cs="Tahoma"/>
        </w:rPr>
        <w:t xml:space="preserve">as de </w:t>
      </w:r>
      <w:r w:rsidR="004C4F5B">
        <w:rPr>
          <w:rFonts w:ascii="Tahoma" w:hAnsi="Tahoma" w:cs="Tahoma"/>
        </w:rPr>
        <w:t>changement</w:t>
      </w:r>
      <w:r w:rsidR="00AE6A07">
        <w:rPr>
          <w:rFonts w:ascii="Tahoma" w:hAnsi="Tahoma" w:cs="Tahoma"/>
        </w:rPr>
        <w:t xml:space="preserve"> par rapport à la semaine dernière : « </w:t>
      </w:r>
      <w:r w:rsidR="00AE6A07" w:rsidRPr="00AE6A07">
        <w:rPr>
          <w:rFonts w:ascii="Tahoma" w:hAnsi="Tahoma" w:cs="Tahoma"/>
          <w:i/>
          <w:iCs/>
        </w:rPr>
        <w:t>134.38, point d’équilibre d’une dérive latérale de court terme. 132.10 support intermédiaire avant 131.10 et 136.00 résistance intermédiaire avant 136.64</w:t>
      </w:r>
      <w:r w:rsidR="00AE6A07">
        <w:rPr>
          <w:rFonts w:ascii="Tahoma" w:hAnsi="Tahoma" w:cs="Tahoma"/>
          <w:i/>
          <w:iCs/>
        </w:rPr>
        <w:t> ».</w:t>
      </w: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lastRenderedPageBreak/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2F04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75D5"/>
    <w:rsid w:val="00134AFA"/>
    <w:rsid w:val="00135766"/>
    <w:rsid w:val="0014687D"/>
    <w:rsid w:val="0015581D"/>
    <w:rsid w:val="00163C46"/>
    <w:rsid w:val="001705F4"/>
    <w:rsid w:val="00190995"/>
    <w:rsid w:val="001A4796"/>
    <w:rsid w:val="001B1FBC"/>
    <w:rsid w:val="001C0CD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1BFC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B6D60"/>
    <w:rsid w:val="004C4F5B"/>
    <w:rsid w:val="004F48EE"/>
    <w:rsid w:val="00531928"/>
    <w:rsid w:val="00532C62"/>
    <w:rsid w:val="005440A4"/>
    <w:rsid w:val="00546A5A"/>
    <w:rsid w:val="00566580"/>
    <w:rsid w:val="00567AF3"/>
    <w:rsid w:val="00583BC8"/>
    <w:rsid w:val="005E1C89"/>
    <w:rsid w:val="00605047"/>
    <w:rsid w:val="00654380"/>
    <w:rsid w:val="00664BE1"/>
    <w:rsid w:val="006A7B57"/>
    <w:rsid w:val="006B055C"/>
    <w:rsid w:val="006E32BB"/>
    <w:rsid w:val="006E38E0"/>
    <w:rsid w:val="00710599"/>
    <w:rsid w:val="00723F77"/>
    <w:rsid w:val="00744696"/>
    <w:rsid w:val="00772067"/>
    <w:rsid w:val="0077545D"/>
    <w:rsid w:val="0078431E"/>
    <w:rsid w:val="007A0A4B"/>
    <w:rsid w:val="007A0E6C"/>
    <w:rsid w:val="007A46E2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C5331"/>
    <w:rsid w:val="009F3AB8"/>
    <w:rsid w:val="00A11606"/>
    <w:rsid w:val="00A6401C"/>
    <w:rsid w:val="00A81AB7"/>
    <w:rsid w:val="00AA522C"/>
    <w:rsid w:val="00AE6A07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B6F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255B9"/>
    <w:rsid w:val="00D46C8D"/>
    <w:rsid w:val="00D855D3"/>
    <w:rsid w:val="00DA1359"/>
    <w:rsid w:val="00DE5444"/>
    <w:rsid w:val="00DF072F"/>
    <w:rsid w:val="00E32014"/>
    <w:rsid w:val="00E3727C"/>
    <w:rsid w:val="00EB58BA"/>
    <w:rsid w:val="00EE6B93"/>
    <w:rsid w:val="00EE6DEB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3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112</cp:revision>
  <dcterms:created xsi:type="dcterms:W3CDTF">2021-11-25T09:44:00Z</dcterms:created>
  <dcterms:modified xsi:type="dcterms:W3CDTF">2023-06-18T14:26:00Z</dcterms:modified>
</cp:coreProperties>
</file>