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7095E523" w:rsidR="00902D2F" w:rsidRPr="00041E45" w:rsidRDefault="008F0234" w:rsidP="00B41C02">
      <w:pPr>
        <w:jc w:val="both"/>
        <w:rPr>
          <w:rFonts w:ascii="Tahoma" w:hAnsi="Tahoma" w:cs="Tahoma"/>
          <w:sz w:val="32"/>
          <w:szCs w:val="32"/>
          <w:u w:val="single"/>
        </w:rPr>
      </w:pPr>
      <w:r>
        <w:rPr>
          <w:rFonts w:ascii="Tahoma" w:hAnsi="Tahoma" w:cs="Tahoma"/>
          <w:sz w:val="32"/>
          <w:szCs w:val="32"/>
          <w:u w:val="single"/>
        </w:rPr>
        <w:t>Month</w:t>
      </w:r>
    </w:p>
    <w:p w14:paraId="2862B446" w14:textId="3DEEC57A" w:rsidR="00902D2F" w:rsidRDefault="00076CCF" w:rsidP="00B41C02">
      <w:pPr>
        <w:jc w:val="both"/>
        <w:rPr>
          <w:rFonts w:ascii="Tahoma" w:hAnsi="Tahoma" w:cs="Tahoma"/>
        </w:rPr>
      </w:pPr>
      <w:r>
        <w:rPr>
          <w:noProof/>
        </w:rPr>
        <w:drawing>
          <wp:inline distT="0" distB="0" distL="0" distR="0" wp14:anchorId="7AED277B" wp14:editId="600D0CD0">
            <wp:extent cx="5760720" cy="3924300"/>
            <wp:effectExtent l="0" t="0" r="0" b="0"/>
            <wp:docPr id="1594732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924300"/>
                    </a:xfrm>
                    <a:prstGeom prst="rect">
                      <a:avLst/>
                    </a:prstGeom>
                    <a:noFill/>
                    <a:ln>
                      <a:noFill/>
                    </a:ln>
                  </pic:spPr>
                </pic:pic>
              </a:graphicData>
            </a:graphic>
          </wp:inline>
        </w:drawing>
      </w:r>
    </w:p>
    <w:p w14:paraId="035E4CFE" w14:textId="3E9E55C9" w:rsidR="00C17736" w:rsidRDefault="00C17736" w:rsidP="00B41C02">
      <w:pPr>
        <w:jc w:val="both"/>
        <w:rPr>
          <w:rFonts w:ascii="Tahoma" w:hAnsi="Tahoma" w:cs="Tahoma"/>
        </w:rPr>
      </w:pPr>
      <w:r>
        <w:rPr>
          <w:rFonts w:ascii="Tahoma" w:hAnsi="Tahoma" w:cs="Tahoma"/>
        </w:rPr>
        <w:t>La dernière longue chandelle noire date du mois de décembre 2022. Depuis ce moment, le contrat Bund développe une phase de consolidation horizontale. Cette action des prix est propice à un rebond car en l’absence de vendeurs convaincus, elle donne la possibilité aux acheteurs d’agir avec plus de facilité</w:t>
      </w:r>
      <w:r w:rsidR="00954B86">
        <w:rPr>
          <w:rFonts w:ascii="Tahoma" w:hAnsi="Tahoma" w:cs="Tahoma"/>
        </w:rPr>
        <w:t>.</w:t>
      </w:r>
    </w:p>
    <w:p w14:paraId="476ADCE5" w14:textId="1B1FB44A" w:rsidR="008F0234" w:rsidRDefault="00C17736" w:rsidP="00B41C02">
      <w:pPr>
        <w:jc w:val="both"/>
        <w:rPr>
          <w:rFonts w:ascii="Tahoma" w:hAnsi="Tahoma" w:cs="Tahoma"/>
        </w:rPr>
      </w:pPr>
      <w:r>
        <w:rPr>
          <w:rFonts w:ascii="Tahoma" w:hAnsi="Tahoma" w:cs="Tahoma"/>
        </w:rPr>
        <w:t xml:space="preserve">Pour autant, l’absence de mouvement directionnel actuel résulte </w:t>
      </w:r>
      <w:r w:rsidR="00954B86">
        <w:rPr>
          <w:rFonts w:ascii="Tahoma" w:hAnsi="Tahoma" w:cs="Tahoma"/>
        </w:rPr>
        <w:t>d’un manque</w:t>
      </w:r>
      <w:r>
        <w:rPr>
          <w:rFonts w:ascii="Tahoma" w:hAnsi="Tahoma" w:cs="Tahoma"/>
        </w:rPr>
        <w:t xml:space="preserve"> de conviction forte pour amener les prix sur un niveau plus élevé. Le doute domine même si la baisse des cours n’est plus dominante, les derniers chandeliers relativement petit</w:t>
      </w:r>
      <w:r w:rsidR="00860C34">
        <w:rPr>
          <w:rFonts w:ascii="Tahoma" w:hAnsi="Tahoma" w:cs="Tahoma"/>
        </w:rPr>
        <w:t>s</w:t>
      </w:r>
      <w:r>
        <w:rPr>
          <w:rFonts w:ascii="Tahoma" w:hAnsi="Tahoma" w:cs="Tahoma"/>
        </w:rPr>
        <w:t xml:space="preserve"> par rapport </w:t>
      </w:r>
      <w:r w:rsidR="00E45873">
        <w:rPr>
          <w:rFonts w:ascii="Tahoma" w:hAnsi="Tahoma" w:cs="Tahoma"/>
        </w:rPr>
        <w:t xml:space="preserve">aux chandelles du début de l’année, </w:t>
      </w:r>
      <w:r w:rsidR="00860C34">
        <w:rPr>
          <w:rFonts w:ascii="Tahoma" w:hAnsi="Tahoma" w:cs="Tahoma"/>
        </w:rPr>
        <w:t>traduisent l</w:t>
      </w:r>
      <w:r w:rsidR="00954B86">
        <w:rPr>
          <w:rFonts w:ascii="Tahoma" w:hAnsi="Tahoma" w:cs="Tahoma"/>
        </w:rPr>
        <w:t>’absence</w:t>
      </w:r>
      <w:r w:rsidR="00860C34">
        <w:rPr>
          <w:rFonts w:ascii="Tahoma" w:hAnsi="Tahoma" w:cs="Tahoma"/>
        </w:rPr>
        <w:t xml:space="preserve"> de certitude.</w:t>
      </w:r>
    </w:p>
    <w:p w14:paraId="749D7144" w14:textId="7B63B53A" w:rsidR="00860C34" w:rsidRDefault="00860C34" w:rsidP="00B41C02">
      <w:pPr>
        <w:jc w:val="both"/>
        <w:rPr>
          <w:rFonts w:ascii="Tahoma" w:hAnsi="Tahoma" w:cs="Tahoma"/>
        </w:rPr>
      </w:pPr>
      <w:r>
        <w:rPr>
          <w:rFonts w:ascii="Tahoma" w:hAnsi="Tahoma" w:cs="Tahoma"/>
        </w:rPr>
        <w:t xml:space="preserve">Le marché reste cadré par des supports et des résistances définis les mois précédents. Le plat de KS de 136.64 sert de résistance. En dépassement, la poursuite de la hausse pourra alors être envisagée. Le plat de TS de 131.10 fait office de support. Sa cassure (en </w:t>
      </w:r>
      <w:r w:rsidR="00F01CD4">
        <w:rPr>
          <w:rFonts w:ascii="Tahoma" w:hAnsi="Tahoma" w:cs="Tahoma"/>
        </w:rPr>
        <w:t>clôture</w:t>
      </w:r>
      <w:r>
        <w:rPr>
          <w:rFonts w:ascii="Tahoma" w:hAnsi="Tahoma" w:cs="Tahoma"/>
        </w:rPr>
        <w:t xml:space="preserve"> mensuelle) permettra d’envisager une baisse jusqu’</w:t>
      </w:r>
      <w:r w:rsidR="00954B86">
        <w:rPr>
          <w:rFonts w:ascii="Tahoma" w:hAnsi="Tahoma" w:cs="Tahoma"/>
        </w:rPr>
        <w:t>au</w:t>
      </w:r>
      <w:r>
        <w:rPr>
          <w:rFonts w:ascii="Tahoma" w:hAnsi="Tahoma" w:cs="Tahoma"/>
        </w:rPr>
        <w:t xml:space="preserve"> support suivant de 127.06.</w:t>
      </w:r>
    </w:p>
    <w:p w14:paraId="490B83C4" w14:textId="28E2A775" w:rsidR="0067541E" w:rsidRDefault="00860C34" w:rsidP="00B41C02">
      <w:pPr>
        <w:jc w:val="both"/>
        <w:rPr>
          <w:rFonts w:ascii="Tahoma" w:hAnsi="Tahoma" w:cs="Tahoma"/>
        </w:rPr>
      </w:pPr>
      <w:r>
        <w:rPr>
          <w:rFonts w:ascii="Tahoma" w:hAnsi="Tahoma" w:cs="Tahoma"/>
        </w:rPr>
        <w:t>Prix et LS évoluent sous leur nuage respectif. Cela signifie que le contexte de long terme est baissier. Sans cassure de</w:t>
      </w:r>
      <w:r w:rsidR="00954B86">
        <w:rPr>
          <w:rFonts w:ascii="Tahoma" w:hAnsi="Tahoma" w:cs="Tahoma"/>
        </w:rPr>
        <w:t>s</w:t>
      </w:r>
      <w:r>
        <w:rPr>
          <w:rFonts w:ascii="Tahoma" w:hAnsi="Tahoma" w:cs="Tahoma"/>
        </w:rPr>
        <w:t xml:space="preserve"> extrêmes récents (140.89 -129.41), la TS restera plate un certain temps sur 135.15.</w:t>
      </w:r>
      <w:r w:rsidR="00954B86">
        <w:rPr>
          <w:rFonts w:ascii="Tahoma" w:hAnsi="Tahoma" w:cs="Tahoma"/>
        </w:rPr>
        <w:t xml:space="preserve"> dans ce contexte, l</w:t>
      </w:r>
      <w:r>
        <w:rPr>
          <w:rFonts w:ascii="Tahoma" w:hAnsi="Tahoma" w:cs="Tahoma"/>
        </w:rPr>
        <w:t xml:space="preserve">a hausse sur 136.64 ne sera alors envisageable qu’en dépassement de ce nouveau plat de TS. Cette hausse pourra alors </w:t>
      </w:r>
      <w:r w:rsidR="00954B86">
        <w:rPr>
          <w:rFonts w:ascii="Tahoma" w:hAnsi="Tahoma" w:cs="Tahoma"/>
        </w:rPr>
        <w:t>venir chercher</w:t>
      </w:r>
      <w:r>
        <w:rPr>
          <w:rFonts w:ascii="Tahoma" w:hAnsi="Tahoma" w:cs="Tahoma"/>
        </w:rPr>
        <w:t xml:space="preserve"> le plat de KS de 149.24.</w:t>
      </w:r>
    </w:p>
    <w:p w14:paraId="5229A93B" w14:textId="6FB16226" w:rsidR="00400A09" w:rsidRDefault="00400A09" w:rsidP="00B41C02">
      <w:pPr>
        <w:jc w:val="both"/>
        <w:rPr>
          <w:rFonts w:ascii="Tahoma" w:hAnsi="Tahoma" w:cs="Tahoma"/>
        </w:rPr>
      </w:pPr>
      <w:r>
        <w:rPr>
          <w:rFonts w:ascii="Tahoma" w:hAnsi="Tahoma" w:cs="Tahoma"/>
        </w:rPr>
        <w:t>Le moyen terme et le court terme nous donnent d’autres points intermédiaires avant ceux cités sur le long terme.</w:t>
      </w:r>
    </w:p>
    <w:p w14:paraId="4C6E6862" w14:textId="77777777" w:rsidR="008F0234" w:rsidRPr="00041E45" w:rsidRDefault="008F0234" w:rsidP="008F0234">
      <w:pPr>
        <w:jc w:val="both"/>
        <w:rPr>
          <w:rFonts w:ascii="Tahoma" w:hAnsi="Tahoma" w:cs="Tahoma"/>
          <w:sz w:val="32"/>
          <w:szCs w:val="32"/>
          <w:u w:val="single"/>
        </w:rPr>
      </w:pPr>
      <w:r w:rsidRPr="00041E45">
        <w:rPr>
          <w:rFonts w:ascii="Tahoma" w:hAnsi="Tahoma" w:cs="Tahoma"/>
          <w:sz w:val="32"/>
          <w:szCs w:val="32"/>
          <w:u w:val="single"/>
        </w:rPr>
        <w:lastRenderedPageBreak/>
        <w:t>Week</w:t>
      </w:r>
    </w:p>
    <w:p w14:paraId="42A74FCB" w14:textId="2AB45421" w:rsidR="008F0234" w:rsidRDefault="00076CCF" w:rsidP="008F0234">
      <w:pPr>
        <w:jc w:val="both"/>
        <w:rPr>
          <w:rFonts w:ascii="Tahoma" w:hAnsi="Tahoma" w:cs="Tahoma"/>
        </w:rPr>
      </w:pPr>
      <w:r>
        <w:rPr>
          <w:noProof/>
        </w:rPr>
        <w:drawing>
          <wp:inline distT="0" distB="0" distL="0" distR="0" wp14:anchorId="77ECB7F0" wp14:editId="3F9E055E">
            <wp:extent cx="5760720" cy="4320540"/>
            <wp:effectExtent l="0" t="0" r="0" b="3810"/>
            <wp:docPr id="197241339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7ACF092" w14:textId="77777777" w:rsidR="008F0234" w:rsidRDefault="008F0234" w:rsidP="008F0234">
      <w:pPr>
        <w:jc w:val="both"/>
        <w:rPr>
          <w:rFonts w:ascii="Tahoma" w:hAnsi="Tahoma" w:cs="Tahoma"/>
        </w:rPr>
      </w:pPr>
    </w:p>
    <w:p w14:paraId="683BDD0B" w14:textId="0B1C5DFB" w:rsidR="008B7A5D" w:rsidRDefault="008B7A5D" w:rsidP="008F0234">
      <w:pPr>
        <w:jc w:val="both"/>
        <w:rPr>
          <w:rFonts w:ascii="Tahoma" w:hAnsi="Tahoma" w:cs="Tahoma"/>
        </w:rPr>
      </w:pPr>
      <w:r>
        <w:rPr>
          <w:rFonts w:ascii="Tahoma" w:hAnsi="Tahoma" w:cs="Tahoma"/>
        </w:rPr>
        <w:t xml:space="preserve">Sur le moyen terme, une zone de support s’est formée sur 132.10. Comme on l’observe, les </w:t>
      </w:r>
      <w:r w:rsidR="00F01CD4">
        <w:rPr>
          <w:rFonts w:ascii="Tahoma" w:hAnsi="Tahoma" w:cs="Tahoma"/>
        </w:rPr>
        <w:t>différentes</w:t>
      </w:r>
      <w:r>
        <w:rPr>
          <w:rFonts w:ascii="Tahoma" w:hAnsi="Tahoma" w:cs="Tahoma"/>
        </w:rPr>
        <w:t xml:space="preserve"> baisses hebdomadaires sont allées chercher ce point avant de rebondir.</w:t>
      </w:r>
    </w:p>
    <w:p w14:paraId="6FF2D96C" w14:textId="3684124E" w:rsidR="008B7A5D" w:rsidRDefault="008B7A5D" w:rsidP="008F0234">
      <w:pPr>
        <w:jc w:val="both"/>
        <w:rPr>
          <w:rFonts w:ascii="Tahoma" w:hAnsi="Tahoma" w:cs="Tahoma"/>
        </w:rPr>
      </w:pPr>
      <w:r>
        <w:rPr>
          <w:rFonts w:ascii="Tahoma" w:hAnsi="Tahoma" w:cs="Tahoma"/>
        </w:rPr>
        <w:t xml:space="preserve">La direction prise par les </w:t>
      </w:r>
      <w:r w:rsidR="00F01CD4">
        <w:rPr>
          <w:rFonts w:ascii="Tahoma" w:hAnsi="Tahoma" w:cs="Tahoma"/>
        </w:rPr>
        <w:t>différentes</w:t>
      </w:r>
      <w:r>
        <w:rPr>
          <w:rFonts w:ascii="Tahoma" w:hAnsi="Tahoma" w:cs="Tahoma"/>
        </w:rPr>
        <w:t xml:space="preserve"> courbes Ichimoku nous indiquent que le marché n’est pas en tendance et qu’une consolidation est en cours de développement.</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7791F566" w:rsidR="00583BC8" w:rsidRDefault="00076CCF" w:rsidP="00B41C02">
      <w:pPr>
        <w:jc w:val="both"/>
        <w:rPr>
          <w:rFonts w:ascii="Tahoma" w:hAnsi="Tahoma" w:cs="Tahoma"/>
        </w:rPr>
      </w:pPr>
      <w:r>
        <w:rPr>
          <w:noProof/>
        </w:rPr>
        <w:lastRenderedPageBreak/>
        <w:drawing>
          <wp:inline distT="0" distB="0" distL="0" distR="0" wp14:anchorId="28773094" wp14:editId="7E70C851">
            <wp:extent cx="5760720" cy="4320540"/>
            <wp:effectExtent l="0" t="0" r="0" b="3810"/>
            <wp:docPr id="92263778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0848017D" w14:textId="77777777" w:rsidR="008B7A5D" w:rsidRDefault="008B7A5D" w:rsidP="00041E45">
      <w:pPr>
        <w:jc w:val="both"/>
        <w:rPr>
          <w:rFonts w:ascii="Tahoma" w:hAnsi="Tahoma" w:cs="Tahoma"/>
        </w:rPr>
      </w:pPr>
    </w:p>
    <w:p w14:paraId="67B8B186" w14:textId="22800F88" w:rsidR="00467005" w:rsidRDefault="008B7A5D" w:rsidP="00041E45">
      <w:pPr>
        <w:jc w:val="both"/>
        <w:rPr>
          <w:rFonts w:ascii="Tahoma" w:hAnsi="Tahoma" w:cs="Tahoma"/>
        </w:rPr>
      </w:pPr>
      <w:r>
        <w:rPr>
          <w:rFonts w:ascii="Tahoma" w:hAnsi="Tahoma" w:cs="Tahoma"/>
        </w:rPr>
        <w:t xml:space="preserve">Le court terme permet de </w:t>
      </w:r>
      <w:r w:rsidR="00F01CD4">
        <w:rPr>
          <w:rFonts w:ascii="Tahoma" w:hAnsi="Tahoma" w:cs="Tahoma"/>
        </w:rPr>
        <w:t>déterminer</w:t>
      </w:r>
      <w:r>
        <w:rPr>
          <w:rFonts w:ascii="Tahoma" w:hAnsi="Tahoma" w:cs="Tahoma"/>
        </w:rPr>
        <w:t xml:space="preserve"> une résistance sur 136.00. </w:t>
      </w:r>
      <w:r w:rsidR="00400A09">
        <w:rPr>
          <w:rFonts w:ascii="Tahoma" w:hAnsi="Tahoma" w:cs="Tahoma"/>
        </w:rPr>
        <w:t>A</w:t>
      </w:r>
      <w:r>
        <w:rPr>
          <w:rFonts w:ascii="Tahoma" w:hAnsi="Tahoma" w:cs="Tahoma"/>
        </w:rPr>
        <w:t xml:space="preserve">u cours du mois d’avril, le contrat ouvert un petit gap sur le niveau de 136.00. Les </w:t>
      </w:r>
      <w:r w:rsidR="00F01CD4">
        <w:rPr>
          <w:rFonts w:ascii="Tahoma" w:hAnsi="Tahoma" w:cs="Tahoma"/>
        </w:rPr>
        <w:t>différents</w:t>
      </w:r>
      <w:r>
        <w:rPr>
          <w:rFonts w:ascii="Tahoma" w:hAnsi="Tahoma" w:cs="Tahoma"/>
        </w:rPr>
        <w:t xml:space="preserve"> rebonds n’ont pas permis </w:t>
      </w:r>
      <w:r w:rsidR="00400A09">
        <w:rPr>
          <w:rFonts w:ascii="Tahoma" w:hAnsi="Tahoma" w:cs="Tahoma"/>
        </w:rPr>
        <w:t>l’</w:t>
      </w:r>
      <w:r>
        <w:rPr>
          <w:rFonts w:ascii="Tahoma" w:hAnsi="Tahoma" w:cs="Tahoma"/>
        </w:rPr>
        <w:t xml:space="preserve">établissement des prix </w:t>
      </w:r>
      <w:r w:rsidR="00F01CD4">
        <w:rPr>
          <w:rFonts w:ascii="Tahoma" w:hAnsi="Tahoma" w:cs="Tahoma"/>
        </w:rPr>
        <w:t>au-dessus</w:t>
      </w:r>
      <w:r>
        <w:rPr>
          <w:rFonts w:ascii="Tahoma" w:hAnsi="Tahoma" w:cs="Tahoma"/>
        </w:rPr>
        <w:t xml:space="preserve"> de ce gap</w:t>
      </w:r>
      <w:r w:rsidR="00400A09">
        <w:rPr>
          <w:rFonts w:ascii="Tahoma" w:hAnsi="Tahoma" w:cs="Tahoma"/>
        </w:rPr>
        <w:t xml:space="preserve"> c</w:t>
      </w:r>
      <w:r>
        <w:rPr>
          <w:rFonts w:ascii="Tahoma" w:hAnsi="Tahoma" w:cs="Tahoma"/>
        </w:rPr>
        <w:t>e qui l’a transformé en résistance graphique.</w:t>
      </w:r>
    </w:p>
    <w:p w14:paraId="013CFE55" w14:textId="3BCDD955" w:rsidR="008B7A5D" w:rsidRDefault="008B7A5D" w:rsidP="00041E45">
      <w:pPr>
        <w:jc w:val="both"/>
        <w:rPr>
          <w:rFonts w:ascii="Tahoma" w:hAnsi="Tahoma" w:cs="Tahoma"/>
        </w:rPr>
      </w:pPr>
      <w:r>
        <w:rPr>
          <w:rFonts w:ascii="Tahoma" w:hAnsi="Tahoma" w:cs="Tahoma"/>
        </w:rPr>
        <w:t xml:space="preserve">Sur cette unité de temps, les prix dérivent plus ou moins latéralement entre 136.00 et 132.10. La zone d’équilibre de cette consolidation est matérialisée par le plat de SSB de </w:t>
      </w:r>
      <w:r w:rsidR="00F0727C">
        <w:rPr>
          <w:rFonts w:ascii="Tahoma" w:hAnsi="Tahoma" w:cs="Tahoma"/>
        </w:rPr>
        <w:t xml:space="preserve">134.38. </w:t>
      </w:r>
    </w:p>
    <w:p w14:paraId="118CC60C" w14:textId="34900EA6" w:rsidR="00F0727C" w:rsidRDefault="00F0727C" w:rsidP="00041E45">
      <w:pPr>
        <w:jc w:val="both"/>
        <w:rPr>
          <w:rFonts w:ascii="Tahoma" w:hAnsi="Tahoma" w:cs="Tahoma"/>
        </w:rPr>
      </w:pPr>
      <w:r>
        <w:rPr>
          <w:rFonts w:ascii="Tahoma" w:hAnsi="Tahoma" w:cs="Tahoma"/>
        </w:rPr>
        <w:t>En fonction du positionnement des prix par rapport à ce point d’équilibre, la hausse ou la baisse sera envisagée sur les</w:t>
      </w:r>
      <w:r w:rsidR="00400A09">
        <w:rPr>
          <w:rFonts w:ascii="Tahoma" w:hAnsi="Tahoma" w:cs="Tahoma"/>
        </w:rPr>
        <w:t xml:space="preserve"> </w:t>
      </w:r>
      <w:r w:rsidR="00720135">
        <w:rPr>
          <w:rFonts w:ascii="Tahoma" w:hAnsi="Tahoma" w:cs="Tahoma"/>
        </w:rPr>
        <w:t>différents</w:t>
      </w:r>
      <w:r>
        <w:rPr>
          <w:rFonts w:ascii="Tahoma" w:hAnsi="Tahoma" w:cs="Tahoma"/>
        </w:rPr>
        <w:t xml:space="preserve"> supports ou résistances citées précédemment.</w:t>
      </w:r>
    </w:p>
    <w:p w14:paraId="10BB9766" w14:textId="77777777" w:rsidR="00723F77" w:rsidRDefault="00723F77" w:rsidP="00041E45">
      <w:pPr>
        <w:jc w:val="both"/>
        <w:rPr>
          <w:rFonts w:ascii="Tahoma" w:hAnsi="Tahoma" w:cs="Tahoma"/>
        </w:rPr>
      </w:pPr>
    </w:p>
    <w:p w14:paraId="2F9C5B17" w14:textId="2600650E" w:rsidR="00F0727C"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F0727C">
        <w:rPr>
          <w:rFonts w:ascii="Tahoma" w:hAnsi="Tahoma" w:cs="Tahoma"/>
        </w:rPr>
        <w:t xml:space="preserve"> 134.38, point d’équilibre. </w:t>
      </w:r>
      <w:r w:rsidR="00F01CD4">
        <w:rPr>
          <w:rFonts w:ascii="Tahoma" w:hAnsi="Tahoma" w:cs="Tahoma"/>
        </w:rPr>
        <w:t>Au-dessus</w:t>
      </w:r>
      <w:r w:rsidR="00F0727C">
        <w:rPr>
          <w:rFonts w:ascii="Tahoma" w:hAnsi="Tahoma" w:cs="Tahoma"/>
        </w:rPr>
        <w:t xml:space="preserve"> 136.00 puis 136.64. En dessous 132.10 puis 131.10.</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76CCF"/>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A1F8E"/>
    <w:rsid w:val="002B5CB1"/>
    <w:rsid w:val="002C0A31"/>
    <w:rsid w:val="002F54B0"/>
    <w:rsid w:val="00303214"/>
    <w:rsid w:val="0030643B"/>
    <w:rsid w:val="00337611"/>
    <w:rsid w:val="00340FD9"/>
    <w:rsid w:val="00352DD9"/>
    <w:rsid w:val="003767E0"/>
    <w:rsid w:val="00397D3D"/>
    <w:rsid w:val="00400A09"/>
    <w:rsid w:val="0040171B"/>
    <w:rsid w:val="00467005"/>
    <w:rsid w:val="004A2D2D"/>
    <w:rsid w:val="004A5154"/>
    <w:rsid w:val="004F48EE"/>
    <w:rsid w:val="00531928"/>
    <w:rsid w:val="005440A4"/>
    <w:rsid w:val="00546A5A"/>
    <w:rsid w:val="00566580"/>
    <w:rsid w:val="00567AF3"/>
    <w:rsid w:val="00583BC8"/>
    <w:rsid w:val="005E42CF"/>
    <w:rsid w:val="00654380"/>
    <w:rsid w:val="00664BE1"/>
    <w:rsid w:val="0067541E"/>
    <w:rsid w:val="006B055C"/>
    <w:rsid w:val="006E32BB"/>
    <w:rsid w:val="006E38E0"/>
    <w:rsid w:val="00710599"/>
    <w:rsid w:val="00720135"/>
    <w:rsid w:val="00723F77"/>
    <w:rsid w:val="00744696"/>
    <w:rsid w:val="00772067"/>
    <w:rsid w:val="0077545D"/>
    <w:rsid w:val="007A0A4B"/>
    <w:rsid w:val="007A0E6C"/>
    <w:rsid w:val="007B1237"/>
    <w:rsid w:val="007B661D"/>
    <w:rsid w:val="007D19FF"/>
    <w:rsid w:val="007D2085"/>
    <w:rsid w:val="007D4181"/>
    <w:rsid w:val="0083454A"/>
    <w:rsid w:val="00837B38"/>
    <w:rsid w:val="00860C34"/>
    <w:rsid w:val="00896554"/>
    <w:rsid w:val="008A7407"/>
    <w:rsid w:val="008B7A5D"/>
    <w:rsid w:val="008F0234"/>
    <w:rsid w:val="008F10C2"/>
    <w:rsid w:val="00902D2F"/>
    <w:rsid w:val="00954B86"/>
    <w:rsid w:val="00961FDF"/>
    <w:rsid w:val="00983B7D"/>
    <w:rsid w:val="009A37C2"/>
    <w:rsid w:val="009F3AB8"/>
    <w:rsid w:val="00A11606"/>
    <w:rsid w:val="00A6401C"/>
    <w:rsid w:val="00A81AB7"/>
    <w:rsid w:val="00AA522C"/>
    <w:rsid w:val="00AE7F3B"/>
    <w:rsid w:val="00B34260"/>
    <w:rsid w:val="00B41C02"/>
    <w:rsid w:val="00B4335A"/>
    <w:rsid w:val="00B50E38"/>
    <w:rsid w:val="00B554B8"/>
    <w:rsid w:val="00B64EE0"/>
    <w:rsid w:val="00B94D71"/>
    <w:rsid w:val="00BB0E32"/>
    <w:rsid w:val="00BB6D9D"/>
    <w:rsid w:val="00BC77A5"/>
    <w:rsid w:val="00BD3FC1"/>
    <w:rsid w:val="00C17736"/>
    <w:rsid w:val="00C17ED7"/>
    <w:rsid w:val="00C41F15"/>
    <w:rsid w:val="00C70171"/>
    <w:rsid w:val="00C70A68"/>
    <w:rsid w:val="00C82E98"/>
    <w:rsid w:val="00CB17C9"/>
    <w:rsid w:val="00CC72FF"/>
    <w:rsid w:val="00CC7C21"/>
    <w:rsid w:val="00CE0886"/>
    <w:rsid w:val="00CF2516"/>
    <w:rsid w:val="00CF6D63"/>
    <w:rsid w:val="00D23B28"/>
    <w:rsid w:val="00D46C8D"/>
    <w:rsid w:val="00DA1359"/>
    <w:rsid w:val="00DE5444"/>
    <w:rsid w:val="00DF072F"/>
    <w:rsid w:val="00E32014"/>
    <w:rsid w:val="00E3727C"/>
    <w:rsid w:val="00E45873"/>
    <w:rsid w:val="00EA5C07"/>
    <w:rsid w:val="00EB58BA"/>
    <w:rsid w:val="00EE6B93"/>
    <w:rsid w:val="00F01CD4"/>
    <w:rsid w:val="00F04A6E"/>
    <w:rsid w:val="00F04DEF"/>
    <w:rsid w:val="00F0727C"/>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623</TotalTime>
  <Pages>4</Pages>
  <Words>540</Words>
  <Characters>2976</Characters>
  <Application>Microsoft Office Word</Application>
  <DocSecurity>0</DocSecurity>
  <Lines>24</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105</cp:revision>
  <dcterms:created xsi:type="dcterms:W3CDTF">2021-11-25T09:44:00Z</dcterms:created>
  <dcterms:modified xsi:type="dcterms:W3CDTF">2023-07-01T13:06:00Z</dcterms:modified>
</cp:coreProperties>
</file>