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29E4C0EC" w:rsidR="00902D2F" w:rsidRDefault="00090013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C8CF874" wp14:editId="32322990">
            <wp:extent cx="5760720" cy="4320540"/>
            <wp:effectExtent l="0" t="0" r="0" b="3810"/>
            <wp:docPr id="90120220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1A91141B" w14:textId="18514408" w:rsidR="004D31FC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090013">
        <w:rPr>
          <w:rFonts w:ascii="Tahoma" w:hAnsi="Tahoma" w:cs="Tahoma"/>
        </w:rPr>
        <w:t>a baisse de cette semaine est l’une des plus importante depuis le début de l’année. M</w:t>
      </w:r>
      <w:r w:rsidR="00E00A05">
        <w:rPr>
          <w:rFonts w:ascii="Tahoma" w:hAnsi="Tahoma" w:cs="Tahoma"/>
        </w:rPr>
        <w:t>ais m</w:t>
      </w:r>
      <w:r w:rsidR="009C68C0">
        <w:rPr>
          <w:rFonts w:ascii="Tahoma" w:hAnsi="Tahoma" w:cs="Tahoma"/>
        </w:rPr>
        <w:t>ême si l</w:t>
      </w:r>
      <w:r w:rsidR="00090013">
        <w:rPr>
          <w:rFonts w:ascii="Tahoma" w:hAnsi="Tahoma" w:cs="Tahoma"/>
        </w:rPr>
        <w:t>a longue chandelle noire traduit une certaine conviction</w:t>
      </w:r>
      <w:r w:rsidR="009C68C0">
        <w:rPr>
          <w:rFonts w:ascii="Tahoma" w:hAnsi="Tahoma" w:cs="Tahoma"/>
        </w:rPr>
        <w:t>, son développement s’est limité au</w:t>
      </w:r>
      <w:r w:rsidR="004D31FC">
        <w:rPr>
          <w:rFonts w:ascii="Tahoma" w:hAnsi="Tahoma" w:cs="Tahoma"/>
        </w:rPr>
        <w:t>x</w:t>
      </w:r>
      <w:r w:rsidR="009C68C0">
        <w:rPr>
          <w:rFonts w:ascii="Tahoma" w:hAnsi="Tahoma" w:cs="Tahoma"/>
        </w:rPr>
        <w:t xml:space="preserve"> bornes évoqué</w:t>
      </w:r>
      <w:r w:rsidR="004D31FC">
        <w:rPr>
          <w:rFonts w:ascii="Tahoma" w:hAnsi="Tahoma" w:cs="Tahoma"/>
        </w:rPr>
        <w:t>e</w:t>
      </w:r>
      <w:r w:rsidR="009C68C0">
        <w:rPr>
          <w:rFonts w:ascii="Tahoma" w:hAnsi="Tahoma" w:cs="Tahoma"/>
        </w:rPr>
        <w:t>s lors des précédentes analyses.</w:t>
      </w:r>
    </w:p>
    <w:p w14:paraId="6A1A8A9F" w14:textId="22322E2A" w:rsidR="004D31FC" w:rsidRDefault="004D31FC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effet, le contrat Bund est cadré par une résistance intermédiaire et résistance de long terme sur respectivement 136.00 et 136.64. Le support intermédiaire </w:t>
      </w:r>
      <w:r w:rsidR="00E00A05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 pris forme sur 132.10 et celui de long terme sur 131.10. Je rappelle que les points de long terme sont plus solides que les intermédiaires.</w:t>
      </w:r>
    </w:p>
    <w:p w14:paraId="7AC4D2D2" w14:textId="6C1E7B29" w:rsidR="00DF072F" w:rsidRDefault="004D31FC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retour sur 131.10 n’implique pas le début d’une nouvelle vague de baisse. Les prix devront s’établir durablement sous le support pour envisager une poursuite du mouvement en direction de 127.06.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15ADF36D" w:rsidR="00583BC8" w:rsidRDefault="00090013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09E3F96E" wp14:editId="2CD4D351">
            <wp:extent cx="5760720" cy="4320540"/>
            <wp:effectExtent l="0" t="0" r="0" b="3810"/>
            <wp:docPr id="1779512088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7A21C6A3" w:rsidR="00467005" w:rsidRDefault="00B75D5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graphique de court terme, montre la pertinence du support de 131.10. Les cours ont testé par deux fois ce point sans parvenir à l’invalider. Même si sur la dernière séance de la semaine, le marché a touché un nouveau bas à 130.61, la </w:t>
      </w:r>
      <w:r w:rsidR="00AD1515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sur 131.12 permet de </w:t>
      </w:r>
      <w:r w:rsidR="00C30D82">
        <w:rPr>
          <w:rFonts w:ascii="Tahoma" w:hAnsi="Tahoma" w:cs="Tahoma"/>
        </w:rPr>
        <w:t>garder un biais neutre.</w:t>
      </w:r>
    </w:p>
    <w:p w14:paraId="694F25FF" w14:textId="1FE122E0" w:rsidR="00C30D82" w:rsidRDefault="00C30D82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question de la rupture va se poser pour la semaine à venir. Comme toujours</w:t>
      </w:r>
      <w:r w:rsidR="003D1982" w:rsidRPr="003D1982">
        <w:rPr>
          <w:rFonts w:ascii="Tahoma" w:hAnsi="Tahoma" w:cs="Tahoma"/>
        </w:rPr>
        <w:t xml:space="preserve"> </w:t>
      </w:r>
      <w:r w:rsidR="003D1982">
        <w:rPr>
          <w:rFonts w:ascii="Tahoma" w:hAnsi="Tahoma" w:cs="Tahoma"/>
        </w:rPr>
        <w:t>en cassure</w:t>
      </w:r>
      <w:r w:rsidR="003D1982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 xml:space="preserve"> la logique de l’inversion des polarités permettra d’envisager ou pas une baisse prolongée. Cette logique implique le maintien des prix sous 131.10 pour valider totalement la </w:t>
      </w:r>
      <w:r w:rsidR="003D1982">
        <w:rPr>
          <w:rFonts w:ascii="Tahoma" w:hAnsi="Tahoma" w:cs="Tahoma"/>
        </w:rPr>
        <w:t>rupture</w:t>
      </w:r>
      <w:r>
        <w:rPr>
          <w:rFonts w:ascii="Tahoma" w:hAnsi="Tahoma" w:cs="Tahoma"/>
        </w:rPr>
        <w:t xml:space="preserve"> et un nouveau biais baissier.</w:t>
      </w:r>
    </w:p>
    <w:p w14:paraId="2D1538D0" w14:textId="2A97F83A" w:rsidR="00C30D82" w:rsidRDefault="0058214B" w:rsidP="00041E45">
      <w:pPr>
        <w:jc w:val="both"/>
        <w:rPr>
          <w:rFonts w:ascii="Tahoma" w:hAnsi="Tahoma" w:cs="Tahoma"/>
        </w:rPr>
      </w:pPr>
      <w:bookmarkStart w:id="0" w:name="_Hlk139728771"/>
      <w:r>
        <w:rPr>
          <w:rFonts w:ascii="Tahoma" w:hAnsi="Tahoma" w:cs="Tahoma"/>
        </w:rPr>
        <w:t xml:space="preserve">Au sein de la consolidation comprise entre 131.10 et 136.64, </w:t>
      </w:r>
      <w:bookmarkStart w:id="1" w:name="_Hlk139728760"/>
      <w:r>
        <w:rPr>
          <w:rFonts w:ascii="Tahoma" w:hAnsi="Tahoma" w:cs="Tahoma"/>
        </w:rPr>
        <w:t>les baissiers garderont un certain avantage tant que le contrat se maintiendra sous 131.87.</w:t>
      </w:r>
    </w:p>
    <w:bookmarkEnd w:id="0"/>
    <w:bookmarkEnd w:id="1"/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09D0828C" w14:textId="77777777" w:rsidR="004238D2" w:rsidRDefault="00B94D71" w:rsidP="004238D2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4238D2">
        <w:rPr>
          <w:rFonts w:ascii="Tahoma" w:hAnsi="Tahoma" w:cs="Tahoma"/>
        </w:rPr>
        <w:t xml:space="preserve"> </w:t>
      </w:r>
      <w:r w:rsidR="004238D2">
        <w:rPr>
          <w:rFonts w:ascii="Tahoma" w:hAnsi="Tahoma" w:cs="Tahoma"/>
        </w:rPr>
        <w:t>Au sein de la consolidation comprise entre 131.10 et 136.64, les baissiers garderont un certain avantage tant que le contrat se maintiendra sous 131.87.</w:t>
      </w:r>
    </w:p>
    <w:p w14:paraId="258EB8FF" w14:textId="1F2CD9BA" w:rsidR="00B94D71" w:rsidRDefault="00B94D71" w:rsidP="00B94D71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0013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3D1982"/>
    <w:rsid w:val="0040171B"/>
    <w:rsid w:val="004238D2"/>
    <w:rsid w:val="00467005"/>
    <w:rsid w:val="004A2D2D"/>
    <w:rsid w:val="004A5154"/>
    <w:rsid w:val="004D31FC"/>
    <w:rsid w:val="004F48EE"/>
    <w:rsid w:val="00515EB3"/>
    <w:rsid w:val="00531928"/>
    <w:rsid w:val="005440A4"/>
    <w:rsid w:val="00546A5A"/>
    <w:rsid w:val="00566580"/>
    <w:rsid w:val="00567AF3"/>
    <w:rsid w:val="0058214B"/>
    <w:rsid w:val="00583BC8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61FDF"/>
    <w:rsid w:val="00983B7D"/>
    <w:rsid w:val="009A37C2"/>
    <w:rsid w:val="009C68C0"/>
    <w:rsid w:val="009F3AB8"/>
    <w:rsid w:val="00A11606"/>
    <w:rsid w:val="00A6401C"/>
    <w:rsid w:val="00A81AB7"/>
    <w:rsid w:val="00AA522C"/>
    <w:rsid w:val="00AD1515"/>
    <w:rsid w:val="00AE7F3B"/>
    <w:rsid w:val="00B34260"/>
    <w:rsid w:val="00B41C02"/>
    <w:rsid w:val="00B4335A"/>
    <w:rsid w:val="00B50E38"/>
    <w:rsid w:val="00B554B8"/>
    <w:rsid w:val="00B64EE0"/>
    <w:rsid w:val="00B75D5D"/>
    <w:rsid w:val="00B94D71"/>
    <w:rsid w:val="00BB0E32"/>
    <w:rsid w:val="00BB6D9D"/>
    <w:rsid w:val="00BC77A5"/>
    <w:rsid w:val="00BD3FC1"/>
    <w:rsid w:val="00C17ED7"/>
    <w:rsid w:val="00C30D82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00A05"/>
    <w:rsid w:val="00E32014"/>
    <w:rsid w:val="00E3727C"/>
    <w:rsid w:val="00EB58BA"/>
    <w:rsid w:val="00EE6B93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3</Pages>
  <Words>398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104</cp:revision>
  <dcterms:created xsi:type="dcterms:W3CDTF">2021-11-25T09:44:00Z</dcterms:created>
  <dcterms:modified xsi:type="dcterms:W3CDTF">2023-07-08T17:09:00Z</dcterms:modified>
</cp:coreProperties>
</file>