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44E0BCBA" w:rsidR="00902D2F" w:rsidRDefault="008C3B2B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386F6FA8" wp14:editId="188D5CEB">
            <wp:extent cx="5760720" cy="4320540"/>
            <wp:effectExtent l="0" t="0" r="0" b="3810"/>
            <wp:docPr id="186571871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4DEFA8E3" w:rsidR="001705F4" w:rsidRDefault="00662CB1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Que dire de plus </w:t>
      </w:r>
      <w:r w:rsidR="00DE2502">
        <w:rPr>
          <w:rFonts w:ascii="Tahoma" w:hAnsi="Tahoma" w:cs="Tahoma"/>
        </w:rPr>
        <w:t xml:space="preserve">si ce n’est </w:t>
      </w:r>
      <w:r>
        <w:rPr>
          <w:rFonts w:ascii="Tahoma" w:hAnsi="Tahoma" w:cs="Tahoma"/>
        </w:rPr>
        <w:t>que l’indice consolide sur le moyen terme.</w:t>
      </w:r>
    </w:p>
    <w:p w14:paraId="3BFA79AC" w14:textId="780A5581" w:rsidR="00E61BCC" w:rsidRDefault="00662CB1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En fusionnant les deux chandelles qui dépassent la résistance de 4415, </w:t>
      </w:r>
      <w:r w:rsidR="00E61BCC">
        <w:rPr>
          <w:rFonts w:ascii="Tahoma" w:hAnsi="Tahoma" w:cs="Tahoma"/>
        </w:rPr>
        <w:t>nous avons un</w:t>
      </w:r>
      <w:r w:rsidR="00DE2502">
        <w:rPr>
          <w:rFonts w:ascii="Tahoma" w:hAnsi="Tahoma" w:cs="Tahoma"/>
        </w:rPr>
        <w:t>e bougie de</w:t>
      </w:r>
      <w:r w:rsidR="00E61BCC">
        <w:rPr>
          <w:rFonts w:ascii="Tahoma" w:hAnsi="Tahoma" w:cs="Tahoma"/>
        </w:rPr>
        <w:t xml:space="preserve"> </w:t>
      </w:r>
      <w:r w:rsidR="00593556">
        <w:rPr>
          <w:rFonts w:ascii="Tahoma" w:hAnsi="Tahoma" w:cs="Tahoma"/>
        </w:rPr>
        <w:t>soulèvement</w:t>
      </w:r>
      <w:r w:rsidR="00E61BCC">
        <w:rPr>
          <w:rFonts w:ascii="Tahoma" w:hAnsi="Tahoma" w:cs="Tahoma"/>
        </w:rPr>
        <w:t xml:space="preserve"> au sein d’une dérive latérale comprise entre 4200 (4196 plus exactement) et 4415.</w:t>
      </w:r>
      <w:r w:rsidR="009E241C">
        <w:rPr>
          <w:rFonts w:ascii="Tahoma" w:hAnsi="Tahoma" w:cs="Tahoma"/>
        </w:rPr>
        <w:t xml:space="preserve"> Le chandelier fusionné nous donne une </w:t>
      </w:r>
      <w:r w:rsidR="00DE2502">
        <w:rPr>
          <w:rFonts w:ascii="Tahoma" w:hAnsi="Tahoma" w:cs="Tahoma"/>
        </w:rPr>
        <w:t>ligne</w:t>
      </w:r>
      <w:r w:rsidR="009E241C">
        <w:rPr>
          <w:rFonts w:ascii="Tahoma" w:hAnsi="Tahoma" w:cs="Tahoma"/>
        </w:rPr>
        <w:t xml:space="preserve"> composée essentiellement d’ombres, ce qui </w:t>
      </w:r>
      <w:r w:rsidR="00DE2502">
        <w:rPr>
          <w:rFonts w:ascii="Tahoma" w:hAnsi="Tahoma" w:cs="Tahoma"/>
        </w:rPr>
        <w:t>correspond</w:t>
      </w:r>
      <w:r w:rsidR="009E241C">
        <w:rPr>
          <w:rFonts w:ascii="Tahoma" w:hAnsi="Tahoma" w:cs="Tahoma"/>
        </w:rPr>
        <w:t xml:space="preserve"> le </w:t>
      </w:r>
      <w:r w:rsidR="00DE2502">
        <w:rPr>
          <w:rFonts w:ascii="Tahoma" w:hAnsi="Tahoma" w:cs="Tahoma"/>
        </w:rPr>
        <w:t>mieux</w:t>
      </w:r>
      <w:r w:rsidR="009E241C">
        <w:rPr>
          <w:rFonts w:ascii="Tahoma" w:hAnsi="Tahoma" w:cs="Tahoma"/>
        </w:rPr>
        <w:t xml:space="preserve"> avec la dynamique </w:t>
      </w:r>
      <w:r w:rsidR="00DE2502">
        <w:rPr>
          <w:rFonts w:ascii="Tahoma" w:hAnsi="Tahoma" w:cs="Tahoma"/>
        </w:rPr>
        <w:t xml:space="preserve">incertaine </w:t>
      </w:r>
      <w:r w:rsidR="009E241C">
        <w:rPr>
          <w:rFonts w:ascii="Tahoma" w:hAnsi="Tahoma" w:cs="Tahoma"/>
        </w:rPr>
        <w:t xml:space="preserve">du marché. En effet l’avalement baissier issu du dépassement de la résistance, </w:t>
      </w:r>
      <w:r w:rsidR="00DE2502">
        <w:rPr>
          <w:rFonts w:ascii="Tahoma" w:hAnsi="Tahoma" w:cs="Tahoma"/>
        </w:rPr>
        <w:t>avait une bougie noire à forte personnalité</w:t>
      </w:r>
      <w:r w:rsidR="009E241C">
        <w:rPr>
          <w:rFonts w:ascii="Tahoma" w:hAnsi="Tahoma" w:cs="Tahoma"/>
        </w:rPr>
        <w:t xml:space="preserve"> et il aurait </w:t>
      </w:r>
      <w:r w:rsidR="00593556">
        <w:rPr>
          <w:rFonts w:ascii="Tahoma" w:hAnsi="Tahoma" w:cs="Tahoma"/>
        </w:rPr>
        <w:t>dû</w:t>
      </w:r>
      <w:r w:rsidR="009E241C">
        <w:rPr>
          <w:rFonts w:ascii="Tahoma" w:hAnsi="Tahoma" w:cs="Tahoma"/>
        </w:rPr>
        <w:t xml:space="preserve"> mener les prix beaucoup plus bas.</w:t>
      </w:r>
      <w:r w:rsidR="00BA29F0">
        <w:rPr>
          <w:rFonts w:ascii="Tahoma" w:hAnsi="Tahoma" w:cs="Tahoma"/>
        </w:rPr>
        <w:t xml:space="preserve"> Mais le maintien de l’indice </w:t>
      </w:r>
      <w:r w:rsidR="00593556">
        <w:rPr>
          <w:rFonts w:ascii="Tahoma" w:hAnsi="Tahoma" w:cs="Tahoma"/>
        </w:rPr>
        <w:t>au-dessus</w:t>
      </w:r>
      <w:r w:rsidR="00BA29F0">
        <w:rPr>
          <w:rFonts w:ascii="Tahoma" w:hAnsi="Tahoma" w:cs="Tahoma"/>
        </w:rPr>
        <w:t xml:space="preserve"> de 4200 montre l’absence de conviction baissière tout comme </w:t>
      </w:r>
      <w:r w:rsidR="00593556">
        <w:rPr>
          <w:rFonts w:ascii="Tahoma" w:hAnsi="Tahoma" w:cs="Tahoma"/>
        </w:rPr>
        <w:t>la chandelle fusionnée</w:t>
      </w:r>
      <w:r w:rsidR="00BA29F0">
        <w:rPr>
          <w:rFonts w:ascii="Tahoma" w:hAnsi="Tahoma" w:cs="Tahoma"/>
        </w:rPr>
        <w:t xml:space="preserve"> montre </w:t>
      </w:r>
      <w:r w:rsidR="005A0A25">
        <w:rPr>
          <w:rFonts w:ascii="Tahoma" w:hAnsi="Tahoma" w:cs="Tahoma"/>
        </w:rPr>
        <w:t xml:space="preserve">quant à </w:t>
      </w:r>
      <w:r w:rsidR="00DE2502">
        <w:rPr>
          <w:rFonts w:ascii="Tahoma" w:hAnsi="Tahoma" w:cs="Tahoma"/>
        </w:rPr>
        <w:t>elle</w:t>
      </w:r>
      <w:r w:rsidR="005A0A25">
        <w:rPr>
          <w:rFonts w:ascii="Tahoma" w:hAnsi="Tahoma" w:cs="Tahoma"/>
        </w:rPr>
        <w:t xml:space="preserve"> </w:t>
      </w:r>
      <w:r w:rsidR="00BA29F0">
        <w:rPr>
          <w:rFonts w:ascii="Tahoma" w:hAnsi="Tahoma" w:cs="Tahoma"/>
        </w:rPr>
        <w:t>l’a</w:t>
      </w:r>
      <w:r w:rsidR="005A0A25">
        <w:rPr>
          <w:rFonts w:ascii="Tahoma" w:hAnsi="Tahoma" w:cs="Tahoma"/>
        </w:rPr>
        <w:t xml:space="preserve">bsence de </w:t>
      </w:r>
      <w:r w:rsidR="006F4324">
        <w:rPr>
          <w:rFonts w:ascii="Tahoma" w:hAnsi="Tahoma" w:cs="Tahoma"/>
        </w:rPr>
        <w:t>certitude haussière.</w:t>
      </w:r>
    </w:p>
    <w:p w14:paraId="309C7994" w14:textId="387A69CC" w:rsidR="002A458A" w:rsidRDefault="002A458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cet environnement de dérive latérale le plat de TS se prolongera encore un certain temps. </w:t>
      </w:r>
      <w:r w:rsidR="001E054B">
        <w:rPr>
          <w:rFonts w:ascii="Tahoma" w:hAnsi="Tahoma" w:cs="Tahoma"/>
        </w:rPr>
        <w:t>s</w:t>
      </w:r>
      <w:r w:rsidR="001E054B">
        <w:rPr>
          <w:rFonts w:ascii="Tahoma" w:hAnsi="Tahoma" w:cs="Tahoma"/>
        </w:rPr>
        <w:t>ur 4333</w:t>
      </w:r>
      <w:r w:rsidR="00DE2502">
        <w:rPr>
          <w:rFonts w:ascii="Tahoma" w:hAnsi="Tahoma" w:cs="Tahoma"/>
        </w:rPr>
        <w:t>. Ce point</w:t>
      </w:r>
      <w:r>
        <w:rPr>
          <w:rFonts w:ascii="Tahoma" w:hAnsi="Tahoma" w:cs="Tahoma"/>
        </w:rPr>
        <w:t xml:space="preserve"> sera alors utilisé comme zone d’équilibre.</w:t>
      </w:r>
    </w:p>
    <w:p w14:paraId="51145E7E" w14:textId="77777777" w:rsidR="009E241C" w:rsidRDefault="009E241C" w:rsidP="00B41C02">
      <w:pPr>
        <w:jc w:val="both"/>
        <w:rPr>
          <w:rFonts w:ascii="Tahoma" w:hAnsi="Tahoma" w:cs="Tahoma"/>
        </w:rPr>
      </w:pPr>
    </w:p>
    <w:p w14:paraId="7AC4D2D2" w14:textId="6BD8CD94" w:rsidR="00DF072F" w:rsidRDefault="00DF072F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1675B8DF" w14:textId="319A2D00" w:rsidR="00583BC8" w:rsidRDefault="008C3B2B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079B8DAD" wp14:editId="021B868D">
            <wp:extent cx="5760720" cy="4320540"/>
            <wp:effectExtent l="0" t="0" r="0" b="3810"/>
            <wp:docPr id="153464659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26B73DB0" w:rsidR="00583BC8" w:rsidRDefault="00583BC8" w:rsidP="00B41C02">
      <w:pPr>
        <w:jc w:val="both"/>
        <w:rPr>
          <w:rFonts w:ascii="Tahoma" w:hAnsi="Tahoma" w:cs="Tahoma"/>
        </w:rPr>
      </w:pPr>
    </w:p>
    <w:p w14:paraId="710BA38C" w14:textId="0E77BBD0" w:rsidR="00163C46" w:rsidRDefault="00D823DC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Comme on peut l’observer sur le court terme, le support de 4196 a généré des alertes haussières de type marteau.</w:t>
      </w:r>
    </w:p>
    <w:p w14:paraId="42FE093F" w14:textId="79803ECC" w:rsidR="00D823DC" w:rsidRDefault="00D823DC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Cette action des prix au sein de la dérive latérale signifie qu’un retour sur la zone d’équilibre peut être envisagé. Un plat de KS passé et un plat de </w:t>
      </w:r>
      <w:r w:rsidR="00560B00">
        <w:rPr>
          <w:rFonts w:ascii="Tahoma" w:hAnsi="Tahoma" w:cs="Tahoma"/>
        </w:rPr>
        <w:t xml:space="preserve">nuage futur sur 4333 </w:t>
      </w:r>
      <w:r w:rsidR="009F1B9A">
        <w:rPr>
          <w:rFonts w:ascii="Tahoma" w:hAnsi="Tahoma" w:cs="Tahoma"/>
        </w:rPr>
        <w:t xml:space="preserve">(renforçant ce point en Weekly) </w:t>
      </w:r>
      <w:r w:rsidR="00560B00">
        <w:rPr>
          <w:rFonts w:ascii="Tahoma" w:hAnsi="Tahoma" w:cs="Tahoma"/>
        </w:rPr>
        <w:t xml:space="preserve">serviront de point </w:t>
      </w:r>
      <w:r w:rsidR="009F1B9A">
        <w:rPr>
          <w:rFonts w:ascii="Tahoma" w:hAnsi="Tahoma" w:cs="Tahoma"/>
        </w:rPr>
        <w:t>d’équilibre de court terme.</w:t>
      </w:r>
    </w:p>
    <w:p w14:paraId="134665B5" w14:textId="5C334718" w:rsidR="00DB392B" w:rsidRDefault="00DB392B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dernière chandelle de type étoile filante et dont le point haut se situe sur 4326, confirme l’importance des 4333</w:t>
      </w:r>
      <w:r w:rsidR="00DE2502">
        <w:rPr>
          <w:rFonts w:ascii="Tahoma" w:hAnsi="Tahoma" w:cs="Tahoma"/>
        </w:rPr>
        <w:t xml:space="preserve"> points</w:t>
      </w:r>
      <w:r>
        <w:rPr>
          <w:rFonts w:ascii="Tahoma" w:hAnsi="Tahoma" w:cs="Tahoma"/>
        </w:rPr>
        <w:t>. Ce dernier chandelier milite pour un retour sur le support de 4200.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2038A0D0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8A0FEF">
        <w:rPr>
          <w:rFonts w:ascii="Tahoma" w:hAnsi="Tahoma" w:cs="Tahoma"/>
        </w:rPr>
        <w:t xml:space="preserve"> Dérive latérale comprise entre 4200 et 4415 avec 4333 pour zone d’équilibre.</w:t>
      </w:r>
      <w:r w:rsidR="0048476F">
        <w:rPr>
          <w:rFonts w:ascii="Tahoma" w:hAnsi="Tahoma" w:cs="Tahoma"/>
        </w:rPr>
        <w:t xml:space="preserve"> Le meeting de la Fed cette semaine devrait débloquer la situation.</w:t>
      </w:r>
    </w:p>
    <w:p w14:paraId="79425F43" w14:textId="77777777" w:rsidR="0091732F" w:rsidRDefault="0091732F" w:rsidP="00041E45">
      <w:pPr>
        <w:jc w:val="both"/>
        <w:rPr>
          <w:rFonts w:ascii="Tahoma" w:hAnsi="Tahoma" w:cs="Tahoma"/>
        </w:rPr>
      </w:pPr>
    </w:p>
    <w:p w14:paraId="718CDE13" w14:textId="77777777" w:rsidR="0091732F" w:rsidRDefault="0091732F" w:rsidP="00041E45">
      <w:pPr>
        <w:jc w:val="both"/>
        <w:rPr>
          <w:rFonts w:ascii="Tahoma" w:hAnsi="Tahoma" w:cs="Tahoma"/>
        </w:rPr>
      </w:pP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E054B"/>
    <w:rsid w:val="001F650A"/>
    <w:rsid w:val="002003AD"/>
    <w:rsid w:val="002421FE"/>
    <w:rsid w:val="00262E25"/>
    <w:rsid w:val="00263ED0"/>
    <w:rsid w:val="002A1F8E"/>
    <w:rsid w:val="002A458A"/>
    <w:rsid w:val="002B5CB1"/>
    <w:rsid w:val="002C0A31"/>
    <w:rsid w:val="002F54B0"/>
    <w:rsid w:val="0030643B"/>
    <w:rsid w:val="00337611"/>
    <w:rsid w:val="00340FD9"/>
    <w:rsid w:val="00352DD9"/>
    <w:rsid w:val="003C2E49"/>
    <w:rsid w:val="0040171B"/>
    <w:rsid w:val="00467005"/>
    <w:rsid w:val="0048476F"/>
    <w:rsid w:val="004A5154"/>
    <w:rsid w:val="00531928"/>
    <w:rsid w:val="005440A4"/>
    <w:rsid w:val="00546A5A"/>
    <w:rsid w:val="00560B00"/>
    <w:rsid w:val="00566580"/>
    <w:rsid w:val="00567AF3"/>
    <w:rsid w:val="00583BC8"/>
    <w:rsid w:val="00593556"/>
    <w:rsid w:val="005A0A25"/>
    <w:rsid w:val="00654380"/>
    <w:rsid w:val="00662CB1"/>
    <w:rsid w:val="006E32BB"/>
    <w:rsid w:val="006F4324"/>
    <w:rsid w:val="00723F77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96554"/>
    <w:rsid w:val="008A0FEF"/>
    <w:rsid w:val="008A7407"/>
    <w:rsid w:val="008C3B2B"/>
    <w:rsid w:val="008F10C2"/>
    <w:rsid w:val="00902D2F"/>
    <w:rsid w:val="0091732F"/>
    <w:rsid w:val="00961FDF"/>
    <w:rsid w:val="00983B7D"/>
    <w:rsid w:val="009A37C2"/>
    <w:rsid w:val="009E241C"/>
    <w:rsid w:val="009F1B9A"/>
    <w:rsid w:val="009F3AB8"/>
    <w:rsid w:val="00A11606"/>
    <w:rsid w:val="00A6401C"/>
    <w:rsid w:val="00A81AB7"/>
    <w:rsid w:val="00AE7F3B"/>
    <w:rsid w:val="00B34260"/>
    <w:rsid w:val="00B41C02"/>
    <w:rsid w:val="00B50E38"/>
    <w:rsid w:val="00B554B8"/>
    <w:rsid w:val="00B64EE0"/>
    <w:rsid w:val="00BA29F0"/>
    <w:rsid w:val="00BB0E32"/>
    <w:rsid w:val="00BB6D9D"/>
    <w:rsid w:val="00BC77A5"/>
    <w:rsid w:val="00BD3FC1"/>
    <w:rsid w:val="00C17ED7"/>
    <w:rsid w:val="00C407D2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823DC"/>
    <w:rsid w:val="00DB392B"/>
    <w:rsid w:val="00DE2502"/>
    <w:rsid w:val="00DE5444"/>
    <w:rsid w:val="00DF072F"/>
    <w:rsid w:val="00E32014"/>
    <w:rsid w:val="00E61BCC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568</TotalTime>
  <Pages>3</Pages>
  <Words>395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94</cp:revision>
  <dcterms:created xsi:type="dcterms:W3CDTF">2021-11-25T09:44:00Z</dcterms:created>
  <dcterms:modified xsi:type="dcterms:W3CDTF">2023-09-16T15:36:00Z</dcterms:modified>
</cp:coreProperties>
</file>