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772DE29D" w:rsidR="00902D2F" w:rsidRDefault="001722D7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ED68FAE" wp14:editId="416303C6">
            <wp:extent cx="5760720" cy="4320540"/>
            <wp:effectExtent l="0" t="0" r="0" b="3810"/>
            <wp:docPr id="14156643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0CC67574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986D01">
        <w:rPr>
          <w:rFonts w:ascii="Tahoma" w:hAnsi="Tahoma" w:cs="Tahoma"/>
        </w:rPr>
        <w:t xml:space="preserve">a cassure du support des 4200 points </w:t>
      </w:r>
      <w:r w:rsidR="00376835">
        <w:rPr>
          <w:rFonts w:ascii="Tahoma" w:hAnsi="Tahoma" w:cs="Tahoma"/>
        </w:rPr>
        <w:t>a placé l’indice dans un environnement de favorable à la baisse. Cette dynamique baissière a été empr</w:t>
      </w:r>
      <w:r w:rsidR="004143B7">
        <w:rPr>
          <w:rFonts w:ascii="Tahoma" w:hAnsi="Tahoma" w:cs="Tahoma"/>
        </w:rPr>
        <w:t>ei</w:t>
      </w:r>
      <w:r w:rsidR="00376835">
        <w:rPr>
          <w:rFonts w:ascii="Tahoma" w:hAnsi="Tahoma" w:cs="Tahoma"/>
        </w:rPr>
        <w:t>nt</w:t>
      </w:r>
      <w:r w:rsidR="00B94C83">
        <w:rPr>
          <w:rFonts w:ascii="Tahoma" w:hAnsi="Tahoma" w:cs="Tahoma"/>
        </w:rPr>
        <w:t>e</w:t>
      </w:r>
      <w:r w:rsidR="00376835">
        <w:rPr>
          <w:rFonts w:ascii="Tahoma" w:hAnsi="Tahoma" w:cs="Tahoma"/>
        </w:rPr>
        <w:t xml:space="preserve"> d’hésitation comme le montre les trois bougies (T-5, T-4 et T-3) composées essentiellement d’ombres. </w:t>
      </w:r>
    </w:p>
    <w:p w14:paraId="6D107A4F" w14:textId="70E629E5" w:rsidR="00376835" w:rsidRDefault="00B94C83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Par la suite, l</w:t>
      </w:r>
      <w:r w:rsidR="00376835">
        <w:rPr>
          <w:rFonts w:ascii="Tahoma" w:hAnsi="Tahoma" w:cs="Tahoma"/>
        </w:rPr>
        <w:t xml:space="preserve">’échec du retour du l’indice </w:t>
      </w:r>
      <w:r w:rsidR="00F66ECA">
        <w:rPr>
          <w:rFonts w:ascii="Tahoma" w:hAnsi="Tahoma" w:cs="Tahoma"/>
        </w:rPr>
        <w:t>au-dessus</w:t>
      </w:r>
      <w:r w:rsidR="00376835">
        <w:rPr>
          <w:rFonts w:ascii="Tahoma" w:hAnsi="Tahoma" w:cs="Tahoma"/>
        </w:rPr>
        <w:t xml:space="preserve"> de 4200 a définitivement </w:t>
      </w:r>
      <w:r w:rsidR="00472691">
        <w:rPr>
          <w:rFonts w:ascii="Tahoma" w:hAnsi="Tahoma" w:cs="Tahoma"/>
        </w:rPr>
        <w:t>valid</w:t>
      </w:r>
      <w:r w:rsidR="00F05676">
        <w:rPr>
          <w:rFonts w:ascii="Tahoma" w:hAnsi="Tahoma" w:cs="Tahoma"/>
        </w:rPr>
        <w:t>é</w:t>
      </w:r>
      <w:r w:rsidR="00472691">
        <w:rPr>
          <w:rFonts w:ascii="Tahoma" w:hAnsi="Tahoma" w:cs="Tahoma"/>
        </w:rPr>
        <w:t xml:space="preserve"> </w:t>
      </w:r>
      <w:r w:rsidR="00F05676">
        <w:rPr>
          <w:rFonts w:ascii="Tahoma" w:hAnsi="Tahoma" w:cs="Tahoma"/>
        </w:rPr>
        <w:t>l</w:t>
      </w:r>
      <w:r w:rsidR="0036761F">
        <w:rPr>
          <w:rFonts w:ascii="Tahoma" w:hAnsi="Tahoma" w:cs="Tahoma"/>
        </w:rPr>
        <w:t>a domination</w:t>
      </w:r>
      <w:r w:rsidR="00F05676">
        <w:rPr>
          <w:rFonts w:ascii="Tahoma" w:hAnsi="Tahoma" w:cs="Tahoma"/>
        </w:rPr>
        <w:t xml:space="preserve"> des</w:t>
      </w:r>
      <w:r w:rsidR="00472691">
        <w:rPr>
          <w:rFonts w:ascii="Tahoma" w:hAnsi="Tahoma" w:cs="Tahoma"/>
        </w:rPr>
        <w:t xml:space="preserve"> </w:t>
      </w:r>
      <w:r w:rsidR="00F05676">
        <w:rPr>
          <w:rFonts w:ascii="Tahoma" w:hAnsi="Tahoma" w:cs="Tahoma"/>
        </w:rPr>
        <w:t>vendeurs</w:t>
      </w:r>
      <w:r w:rsidR="00472691">
        <w:rPr>
          <w:rFonts w:ascii="Tahoma" w:hAnsi="Tahoma" w:cs="Tahoma"/>
        </w:rPr>
        <w:t xml:space="preserve"> </w:t>
      </w:r>
      <w:r w:rsidR="00F05676">
        <w:rPr>
          <w:rFonts w:ascii="Tahoma" w:hAnsi="Tahoma" w:cs="Tahoma"/>
        </w:rPr>
        <w:t>sur cette unité de temps, après la formation d’une longue chandelle noire.</w:t>
      </w:r>
      <w:r w:rsidR="00472691">
        <w:rPr>
          <w:rFonts w:ascii="Tahoma" w:hAnsi="Tahoma" w:cs="Tahoma"/>
        </w:rPr>
        <w:t xml:space="preserve"> Il est vrai que le contexte géopolitique ainsi qu’économique ne favorisent pas pour le moment un retour </w:t>
      </w:r>
      <w:r w:rsidR="0036761F">
        <w:rPr>
          <w:rFonts w:ascii="Tahoma" w:hAnsi="Tahoma" w:cs="Tahoma"/>
        </w:rPr>
        <w:t>de l’Eurostoxx50</w:t>
      </w:r>
      <w:r w:rsidR="00472691">
        <w:rPr>
          <w:rFonts w:ascii="Tahoma" w:hAnsi="Tahoma" w:cs="Tahoma"/>
        </w:rPr>
        <w:t xml:space="preserve"> vers ses </w:t>
      </w:r>
      <w:r w:rsidR="00F05676">
        <w:rPr>
          <w:rFonts w:ascii="Tahoma" w:hAnsi="Tahoma" w:cs="Tahoma"/>
        </w:rPr>
        <w:t xml:space="preserve">points </w:t>
      </w:r>
      <w:r w:rsidR="00472691">
        <w:rPr>
          <w:rFonts w:ascii="Tahoma" w:hAnsi="Tahoma" w:cs="Tahoma"/>
        </w:rPr>
        <w:t>hauts.</w:t>
      </w:r>
    </w:p>
    <w:p w14:paraId="2DC951D1" w14:textId="0C7AB154" w:rsidR="00F05676" w:rsidRDefault="00F0567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la dernière chandelle en doji pourrait être le premier signe d’un rebond des prix ou le début d’une consolidation. La structure directionnelle de ce dernier chandelier donne un </w:t>
      </w:r>
      <w:r w:rsidR="00F66ECA">
        <w:rPr>
          <w:rFonts w:ascii="Tahoma" w:hAnsi="Tahoma" w:cs="Tahoma"/>
        </w:rPr>
        <w:t>léger</w:t>
      </w:r>
      <w:r>
        <w:rPr>
          <w:rFonts w:ascii="Tahoma" w:hAnsi="Tahoma" w:cs="Tahoma"/>
        </w:rPr>
        <w:t xml:space="preserve"> avantage à la hausse. Cette dernière se concrétisera </w:t>
      </w:r>
      <w:r w:rsidR="0081550C">
        <w:rPr>
          <w:rFonts w:ascii="Tahoma" w:hAnsi="Tahoma" w:cs="Tahoma"/>
        </w:rPr>
        <w:t>avec</w:t>
      </w:r>
      <w:r>
        <w:rPr>
          <w:rFonts w:ascii="Tahoma" w:hAnsi="Tahoma" w:cs="Tahoma"/>
        </w:rPr>
        <w:t xml:space="preserve"> le dépassement de 4082. </w:t>
      </w:r>
    </w:p>
    <w:p w14:paraId="644BEADA" w14:textId="3243CED3" w:rsidR="00F05676" w:rsidRDefault="00F0567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prix ont </w:t>
      </w:r>
      <w:r w:rsidR="00F66ECA">
        <w:rPr>
          <w:rFonts w:ascii="Tahoma" w:hAnsi="Tahoma" w:cs="Tahoma"/>
        </w:rPr>
        <w:t>pénétré</w:t>
      </w:r>
      <w:r>
        <w:rPr>
          <w:rFonts w:ascii="Tahoma" w:hAnsi="Tahoma" w:cs="Tahoma"/>
        </w:rPr>
        <w:t xml:space="preserve"> le nuage en cassure de la SSA de 4067. Ils sont maintenant dans leur zone d’équilibre de moyen terme et le plat de SSB de 3830 devrait dans un premier temps </w:t>
      </w:r>
      <w:r w:rsidR="0081550C">
        <w:rPr>
          <w:rFonts w:ascii="Tahoma" w:hAnsi="Tahoma" w:cs="Tahoma"/>
        </w:rPr>
        <w:t xml:space="preserve">servir de support en cas de poursuite de </w:t>
      </w:r>
      <w:r>
        <w:rPr>
          <w:rFonts w:ascii="Tahoma" w:hAnsi="Tahoma" w:cs="Tahoma"/>
        </w:rPr>
        <w:t>la baisse.</w:t>
      </w: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6D24AF40" w:rsidR="00583BC8" w:rsidRDefault="001722D7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40B9189" wp14:editId="0DABB9A2">
            <wp:extent cx="5760720" cy="4320540"/>
            <wp:effectExtent l="0" t="0" r="0" b="3810"/>
            <wp:docPr id="124934417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15E85FB3" w:rsidR="00163C46" w:rsidRDefault="00323707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Sur cette unité de temps, l</w:t>
      </w:r>
      <w:r w:rsidR="00352DD9">
        <w:rPr>
          <w:rFonts w:ascii="Tahoma" w:hAnsi="Tahoma" w:cs="Tahoma"/>
        </w:rPr>
        <w:t xml:space="preserve">a </w:t>
      </w:r>
      <w:r>
        <w:rPr>
          <w:rFonts w:ascii="Tahoma" w:hAnsi="Tahoma" w:cs="Tahoma"/>
        </w:rPr>
        <w:t xml:space="preserve">baisse de vendredi donne une figure qui se rapproche des trois </w:t>
      </w:r>
      <w:r w:rsidR="00F66ECA">
        <w:rPr>
          <w:rFonts w:ascii="Tahoma" w:hAnsi="Tahoma" w:cs="Tahoma"/>
        </w:rPr>
        <w:t>méthodes</w:t>
      </w:r>
      <w:r>
        <w:rPr>
          <w:rFonts w:ascii="Tahoma" w:hAnsi="Tahoma" w:cs="Tahoma"/>
        </w:rPr>
        <w:t xml:space="preserve"> descendantes </w:t>
      </w:r>
      <w:r w:rsidR="00224BB0">
        <w:rPr>
          <w:rFonts w:ascii="Tahoma" w:hAnsi="Tahoma" w:cs="Tahoma"/>
        </w:rPr>
        <w:t xml:space="preserve">et </w:t>
      </w:r>
      <w:r>
        <w:rPr>
          <w:rFonts w:ascii="Tahoma" w:hAnsi="Tahoma" w:cs="Tahoma"/>
        </w:rPr>
        <w:t xml:space="preserve">qui se classe dans les </w:t>
      </w:r>
      <w:r w:rsidR="00F66ECA">
        <w:rPr>
          <w:rFonts w:ascii="Tahoma" w:hAnsi="Tahoma" w:cs="Tahoma"/>
        </w:rPr>
        <w:t>structures</w:t>
      </w:r>
      <w:r>
        <w:rPr>
          <w:rFonts w:ascii="Tahoma" w:hAnsi="Tahoma" w:cs="Tahoma"/>
        </w:rPr>
        <w:t xml:space="preserve"> de continuation </w:t>
      </w:r>
      <w:r w:rsidR="00224BB0">
        <w:rPr>
          <w:rFonts w:ascii="Tahoma" w:hAnsi="Tahoma" w:cs="Tahoma"/>
        </w:rPr>
        <w:t>de mouvement</w:t>
      </w:r>
      <w:r>
        <w:rPr>
          <w:rFonts w:ascii="Tahoma" w:hAnsi="Tahoma" w:cs="Tahoma"/>
        </w:rPr>
        <w:t>.</w:t>
      </w:r>
      <w:r w:rsidR="009715D4">
        <w:rPr>
          <w:rFonts w:ascii="Tahoma" w:hAnsi="Tahoma" w:cs="Tahoma"/>
        </w:rPr>
        <w:t xml:space="preserve"> Cette observation va à l’encontre de la structure directionnelle du dernier doji hebdomadaire.</w:t>
      </w:r>
    </w:p>
    <w:p w14:paraId="0980F560" w14:textId="47F1C839" w:rsidR="009715D4" w:rsidRDefault="009715D4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J’aurais tendance à favoriser la structure de court terme mais comme un doji peut traduire une pause</w:t>
      </w:r>
      <w:r w:rsidR="00224BB0">
        <w:rPr>
          <w:rFonts w:ascii="Tahoma" w:hAnsi="Tahoma" w:cs="Tahoma"/>
        </w:rPr>
        <w:t xml:space="preserve"> (sur le moyen terme)</w:t>
      </w:r>
      <w:r>
        <w:rPr>
          <w:rFonts w:ascii="Tahoma" w:hAnsi="Tahoma" w:cs="Tahoma"/>
        </w:rPr>
        <w:t xml:space="preserve">, </w:t>
      </w:r>
      <w:r w:rsidR="00224BB0">
        <w:rPr>
          <w:rFonts w:ascii="Tahoma" w:hAnsi="Tahoma" w:cs="Tahoma"/>
        </w:rPr>
        <w:t>c’est pour cette raison que j</w:t>
      </w:r>
      <w:r>
        <w:rPr>
          <w:rFonts w:ascii="Tahoma" w:hAnsi="Tahoma" w:cs="Tahoma"/>
        </w:rPr>
        <w:t>e prend</w:t>
      </w:r>
      <w:r w:rsidR="00224BB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souvent ses </w:t>
      </w:r>
      <w:r w:rsidR="00F66ECA">
        <w:rPr>
          <w:rFonts w:ascii="Tahoma" w:hAnsi="Tahoma" w:cs="Tahoma"/>
        </w:rPr>
        <w:t>extrêmes</w:t>
      </w:r>
      <w:r>
        <w:rPr>
          <w:rFonts w:ascii="Tahoma" w:hAnsi="Tahoma" w:cs="Tahoma"/>
        </w:rPr>
        <w:t xml:space="preserve"> pour envisager la suite.</w:t>
      </w:r>
    </w:p>
    <w:p w14:paraId="67B8B186" w14:textId="1E770F19" w:rsidR="00467005" w:rsidRDefault="009715D4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</w:t>
      </w:r>
      <w:r w:rsidR="00224BB0">
        <w:rPr>
          <w:rFonts w:ascii="Tahoma" w:hAnsi="Tahoma" w:cs="Tahoma"/>
        </w:rPr>
        <w:t>le plus simple est d’avantager</w:t>
      </w:r>
      <w:r>
        <w:rPr>
          <w:rFonts w:ascii="Tahoma" w:hAnsi="Tahoma" w:cs="Tahoma"/>
        </w:rPr>
        <w:t xml:space="preserve"> la hausse </w:t>
      </w:r>
      <w:r w:rsidR="00F66ECA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4082</w:t>
      </w:r>
      <w:r w:rsidR="00224BB0">
        <w:rPr>
          <w:rFonts w:ascii="Tahoma" w:hAnsi="Tahoma" w:cs="Tahoma"/>
        </w:rPr>
        <w:t>, soit la logique de la structure directionnelle, alors qu’</w:t>
      </w:r>
      <w:r w:rsidR="00224BB0">
        <w:rPr>
          <w:rFonts w:ascii="Tahoma" w:hAnsi="Tahoma" w:cs="Tahoma"/>
        </w:rPr>
        <w:t>en cassure de 3993</w:t>
      </w:r>
      <w:r>
        <w:rPr>
          <w:rFonts w:ascii="Tahoma" w:hAnsi="Tahoma" w:cs="Tahoma"/>
        </w:rPr>
        <w:t xml:space="preserve"> la baisse </w:t>
      </w:r>
      <w:r w:rsidR="00224BB0">
        <w:rPr>
          <w:rFonts w:ascii="Tahoma" w:hAnsi="Tahoma" w:cs="Tahoma"/>
        </w:rPr>
        <w:t>et la figure de continuation de mouvement seront favorisées.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70ED7597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264032">
        <w:rPr>
          <w:rFonts w:ascii="Tahoma" w:hAnsi="Tahoma" w:cs="Tahoma"/>
        </w:rPr>
        <w:t xml:space="preserve"> Neutralité entre 3993 et 4082.</w:t>
      </w:r>
    </w:p>
    <w:p w14:paraId="0B12D875" w14:textId="77777777" w:rsidR="00FD70C2" w:rsidRDefault="00FD70C2" w:rsidP="00041E45">
      <w:pPr>
        <w:jc w:val="both"/>
        <w:rPr>
          <w:rFonts w:ascii="Tahoma" w:hAnsi="Tahoma" w:cs="Tahoma"/>
        </w:rPr>
      </w:pPr>
    </w:p>
    <w:p w14:paraId="33142E4D" w14:textId="77777777" w:rsidR="00FD70C2" w:rsidRDefault="00FD70C2" w:rsidP="00041E45">
      <w:pPr>
        <w:jc w:val="both"/>
        <w:rPr>
          <w:rFonts w:ascii="Tahoma" w:hAnsi="Tahoma" w:cs="Tahoma"/>
        </w:rPr>
      </w:pP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4650C"/>
    <w:rsid w:val="000524C5"/>
    <w:rsid w:val="000556C3"/>
    <w:rsid w:val="000833FB"/>
    <w:rsid w:val="00092058"/>
    <w:rsid w:val="000A3C94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722D7"/>
    <w:rsid w:val="00190995"/>
    <w:rsid w:val="001D474B"/>
    <w:rsid w:val="001F650A"/>
    <w:rsid w:val="002003AD"/>
    <w:rsid w:val="00224BB0"/>
    <w:rsid w:val="002421FE"/>
    <w:rsid w:val="00262E25"/>
    <w:rsid w:val="00263ED0"/>
    <w:rsid w:val="00264032"/>
    <w:rsid w:val="002A1F8E"/>
    <w:rsid w:val="002B5CB1"/>
    <w:rsid w:val="002C0A31"/>
    <w:rsid w:val="002F54B0"/>
    <w:rsid w:val="0030643B"/>
    <w:rsid w:val="00323707"/>
    <w:rsid w:val="00337611"/>
    <w:rsid w:val="00340FD9"/>
    <w:rsid w:val="00352DD9"/>
    <w:rsid w:val="0036761F"/>
    <w:rsid w:val="00376835"/>
    <w:rsid w:val="003C2E49"/>
    <w:rsid w:val="0040171B"/>
    <w:rsid w:val="004143B7"/>
    <w:rsid w:val="00467005"/>
    <w:rsid w:val="00472691"/>
    <w:rsid w:val="004A5154"/>
    <w:rsid w:val="00531928"/>
    <w:rsid w:val="005440A4"/>
    <w:rsid w:val="00546A5A"/>
    <w:rsid w:val="00566580"/>
    <w:rsid w:val="00567AF3"/>
    <w:rsid w:val="00583BC8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1550C"/>
    <w:rsid w:val="0083454A"/>
    <w:rsid w:val="00835AC6"/>
    <w:rsid w:val="00837B38"/>
    <w:rsid w:val="00896554"/>
    <w:rsid w:val="008A7407"/>
    <w:rsid w:val="008F10C2"/>
    <w:rsid w:val="00902D2F"/>
    <w:rsid w:val="00961FDF"/>
    <w:rsid w:val="009715D4"/>
    <w:rsid w:val="00983B7D"/>
    <w:rsid w:val="00986D01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94C83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B58BA"/>
    <w:rsid w:val="00F04A6E"/>
    <w:rsid w:val="00F04DEF"/>
    <w:rsid w:val="00F05676"/>
    <w:rsid w:val="00F31070"/>
    <w:rsid w:val="00F53F10"/>
    <w:rsid w:val="00F636F8"/>
    <w:rsid w:val="00F66ECA"/>
    <w:rsid w:val="00F77C17"/>
    <w:rsid w:val="00FA2C8E"/>
    <w:rsid w:val="00FC1860"/>
    <w:rsid w:val="00FC7EA5"/>
    <w:rsid w:val="00FD7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557</TotalTime>
  <Pages>3</Pages>
  <Words>429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88</cp:revision>
  <dcterms:created xsi:type="dcterms:W3CDTF">2021-11-25T09:44:00Z</dcterms:created>
  <dcterms:modified xsi:type="dcterms:W3CDTF">2023-10-29T10:32:00Z</dcterms:modified>
</cp:coreProperties>
</file>