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4E093276" w14:textId="77777777" w:rsidR="0069018B" w:rsidRPr="0069018B" w:rsidRDefault="0069018B" w:rsidP="00B41C02">
      <w:pPr>
        <w:jc w:val="both"/>
        <w:rPr>
          <w:rFonts w:ascii="Tahoma" w:hAnsi="Tahoma" w:cs="Tahoma"/>
          <w:u w:val="single"/>
        </w:rPr>
      </w:pPr>
    </w:p>
    <w:p w14:paraId="673E6FFF" w14:textId="3FD3DDD9" w:rsidR="0069018B" w:rsidRDefault="0069018B" w:rsidP="00B41C02">
      <w:pPr>
        <w:jc w:val="both"/>
        <w:rPr>
          <w:rFonts w:ascii="Tahoma" w:hAnsi="Tahoma" w:cs="Tahoma"/>
        </w:rPr>
      </w:pPr>
      <w:r>
        <w:rPr>
          <w:rFonts w:ascii="Tahoma" w:hAnsi="Tahoma" w:cs="Tahoma"/>
        </w:rPr>
        <w:t xml:space="preserve">Pour analyser l’Eurostoxx 50, je repars de ma dernière analyse </w:t>
      </w:r>
      <w:r w:rsidRPr="005E0C25">
        <w:rPr>
          <w:rFonts w:ascii="Tahoma" w:hAnsi="Tahoma" w:cs="Tahoma"/>
          <w:u w:val="single"/>
        </w:rPr>
        <w:t>mensuelle</w:t>
      </w:r>
      <w:r>
        <w:rPr>
          <w:rFonts w:ascii="Tahoma" w:hAnsi="Tahoma" w:cs="Tahoma"/>
        </w:rPr>
        <w:t xml:space="preserve"> effectuée fin novembre. </w:t>
      </w:r>
      <w:r w:rsidR="00C64501">
        <w:rPr>
          <w:rFonts w:ascii="Tahoma" w:hAnsi="Tahoma" w:cs="Tahoma"/>
        </w:rPr>
        <w:t>La dernière chandelle sur le graphique n’est pas terminée mais elle nous indique que pour le moment, une partie de achats sont remis en question.</w:t>
      </w:r>
    </w:p>
    <w:p w14:paraId="45B88712" w14:textId="07BEBA71" w:rsidR="005E0C25" w:rsidRDefault="005E0C25" w:rsidP="00B41C02">
      <w:pPr>
        <w:jc w:val="both"/>
        <w:rPr>
          <w:rFonts w:ascii="Tahoma" w:hAnsi="Tahoma" w:cs="Tahoma"/>
        </w:rPr>
      </w:pPr>
      <w:r>
        <w:rPr>
          <w:noProof/>
        </w:rPr>
        <w:drawing>
          <wp:inline distT="0" distB="0" distL="0" distR="0" wp14:anchorId="3B033D25" wp14:editId="0EB5415A">
            <wp:extent cx="5760720" cy="4323080"/>
            <wp:effectExtent l="0" t="0" r="0" b="1270"/>
            <wp:docPr id="5548202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3080"/>
                    </a:xfrm>
                    <a:prstGeom prst="rect">
                      <a:avLst/>
                    </a:prstGeom>
                    <a:noFill/>
                    <a:ln>
                      <a:noFill/>
                    </a:ln>
                  </pic:spPr>
                </pic:pic>
              </a:graphicData>
            </a:graphic>
          </wp:inline>
        </w:drawing>
      </w:r>
    </w:p>
    <w:p w14:paraId="29149503" w14:textId="083F0559" w:rsidR="0069018B" w:rsidRDefault="0069018B" w:rsidP="00B41C02">
      <w:pPr>
        <w:jc w:val="both"/>
        <w:rPr>
          <w:rFonts w:ascii="Tahoma" w:hAnsi="Tahoma" w:cs="Tahoma"/>
        </w:rPr>
      </w:pPr>
      <w:r>
        <w:rPr>
          <w:rFonts w:ascii="Tahoma" w:hAnsi="Tahoma" w:cs="Tahoma"/>
        </w:rPr>
        <w:t xml:space="preserve">J’étais parti sur l’idée que la longue chandelle blanche du mois de novembre représentait des rachats de shorts. C’est ce qu’indiquait la figure graphique en trois lignes brisées. Ce contexte limitait </w:t>
      </w:r>
      <w:r w:rsidR="00D91CEB">
        <w:rPr>
          <w:rFonts w:ascii="Tahoma" w:hAnsi="Tahoma" w:cs="Tahoma"/>
        </w:rPr>
        <w:t>à ce moment là,</w:t>
      </w:r>
      <w:r>
        <w:rPr>
          <w:rFonts w:ascii="Tahoma" w:hAnsi="Tahoma" w:cs="Tahoma"/>
        </w:rPr>
        <w:t xml:space="preserve"> la hausse au précédent sommet de 4474.</w:t>
      </w:r>
    </w:p>
    <w:p w14:paraId="0FF4536D" w14:textId="78234136" w:rsidR="00B2524E" w:rsidRDefault="0069018B" w:rsidP="00B41C02">
      <w:pPr>
        <w:jc w:val="both"/>
        <w:rPr>
          <w:rFonts w:ascii="Tahoma" w:hAnsi="Tahoma" w:cs="Tahoma"/>
        </w:rPr>
      </w:pPr>
      <w:r>
        <w:rPr>
          <w:rFonts w:ascii="Tahoma" w:hAnsi="Tahoma" w:cs="Tahoma"/>
        </w:rPr>
        <w:t>Le dépassement de ce sommet</w:t>
      </w:r>
      <w:r w:rsidR="00D91CEB">
        <w:rPr>
          <w:rFonts w:ascii="Tahoma" w:hAnsi="Tahoma" w:cs="Tahoma"/>
        </w:rPr>
        <w:t xml:space="preserve"> de 4474</w:t>
      </w:r>
      <w:r>
        <w:rPr>
          <w:rFonts w:ascii="Tahoma" w:hAnsi="Tahoma" w:cs="Tahoma"/>
        </w:rPr>
        <w:t xml:space="preserve"> au cours du mois de décembre </w:t>
      </w:r>
      <w:r w:rsidR="00A26454">
        <w:rPr>
          <w:rFonts w:ascii="Tahoma" w:hAnsi="Tahoma" w:cs="Tahoma"/>
        </w:rPr>
        <w:t>a montré qu’</w:t>
      </w:r>
      <w:r w:rsidR="00CD123C">
        <w:rPr>
          <w:rFonts w:ascii="Tahoma" w:hAnsi="Tahoma" w:cs="Tahoma"/>
        </w:rPr>
        <w:t>au-delà</w:t>
      </w:r>
      <w:r w:rsidR="00A26454">
        <w:rPr>
          <w:rFonts w:ascii="Tahoma" w:hAnsi="Tahoma" w:cs="Tahoma"/>
        </w:rPr>
        <w:t xml:space="preserve"> des rachats de shorts, un courant acheteur </w:t>
      </w:r>
      <w:r w:rsidR="00B2524E">
        <w:rPr>
          <w:rFonts w:ascii="Tahoma" w:hAnsi="Tahoma" w:cs="Tahoma"/>
        </w:rPr>
        <w:t>s’est progressivement mis en place.</w:t>
      </w:r>
      <w:r w:rsidR="00EF6543">
        <w:rPr>
          <w:rFonts w:ascii="Tahoma" w:hAnsi="Tahoma" w:cs="Tahoma"/>
        </w:rPr>
        <w:t xml:space="preserve"> Il a permis à l’indice d’aller chercher un nouveau haut à 4593.</w:t>
      </w:r>
    </w:p>
    <w:p w14:paraId="4265253F" w14:textId="439219D4" w:rsidR="00964B9F" w:rsidRDefault="00964B9F" w:rsidP="00B41C02">
      <w:pPr>
        <w:jc w:val="both"/>
        <w:rPr>
          <w:rFonts w:ascii="Tahoma" w:hAnsi="Tahoma" w:cs="Tahoma"/>
        </w:rPr>
      </w:pPr>
      <w:r>
        <w:rPr>
          <w:rFonts w:ascii="Tahoma" w:hAnsi="Tahoma" w:cs="Tahoma"/>
        </w:rPr>
        <w:t>Mais voila depuis ce nouveau sommet</w:t>
      </w:r>
      <w:r w:rsidR="00D91CEB">
        <w:rPr>
          <w:rFonts w:ascii="Tahoma" w:hAnsi="Tahoma" w:cs="Tahoma"/>
        </w:rPr>
        <w:t xml:space="preserve"> de 4593</w:t>
      </w:r>
      <w:r>
        <w:rPr>
          <w:rFonts w:ascii="Tahoma" w:hAnsi="Tahoma" w:cs="Tahoma"/>
        </w:rPr>
        <w:t>, le courant haussier s’est affaibli</w:t>
      </w:r>
      <w:r w:rsidR="00C64501">
        <w:rPr>
          <w:rFonts w:ascii="Tahoma" w:hAnsi="Tahoma" w:cs="Tahoma"/>
        </w:rPr>
        <w:t>, jetant le trouble chez les derniers acheteurs.</w:t>
      </w:r>
      <w:r>
        <w:rPr>
          <w:rFonts w:ascii="Tahoma" w:hAnsi="Tahoma" w:cs="Tahoma"/>
        </w:rPr>
        <w:t xml:space="preserve"> Les prix sont ainsi revenu</w:t>
      </w:r>
      <w:r w:rsidR="00C64501">
        <w:rPr>
          <w:rFonts w:ascii="Tahoma" w:hAnsi="Tahoma" w:cs="Tahoma"/>
        </w:rPr>
        <w:t>s</w:t>
      </w:r>
      <w:r>
        <w:rPr>
          <w:rFonts w:ascii="Tahoma" w:hAnsi="Tahoma" w:cs="Tahoma"/>
        </w:rPr>
        <w:t xml:space="preserve"> sur l’ancienne résistance de 4474.</w:t>
      </w:r>
      <w:r w:rsidR="00C64501">
        <w:rPr>
          <w:rFonts w:ascii="Tahoma" w:hAnsi="Tahoma" w:cs="Tahoma"/>
        </w:rPr>
        <w:t xml:space="preserve"> </w:t>
      </w:r>
    </w:p>
    <w:p w14:paraId="236C6EAB" w14:textId="56F5B0DB" w:rsidR="00C64501" w:rsidRDefault="00C64501" w:rsidP="00B41C02">
      <w:pPr>
        <w:jc w:val="both"/>
        <w:rPr>
          <w:rFonts w:ascii="Tahoma" w:hAnsi="Tahoma" w:cs="Tahoma"/>
        </w:rPr>
      </w:pPr>
      <w:r>
        <w:rPr>
          <w:rFonts w:ascii="Tahoma" w:hAnsi="Tahoma" w:cs="Tahoma"/>
        </w:rPr>
        <w:t xml:space="preserve">Un renversement de mouvement sera prévisible si le marché ne parvient pas à se maintenir </w:t>
      </w:r>
      <w:r w:rsidR="00CD123C">
        <w:rPr>
          <w:rFonts w:ascii="Tahoma" w:hAnsi="Tahoma" w:cs="Tahoma"/>
        </w:rPr>
        <w:t>au-dessus</w:t>
      </w:r>
      <w:r>
        <w:rPr>
          <w:rFonts w:ascii="Tahoma" w:hAnsi="Tahoma" w:cs="Tahoma"/>
        </w:rPr>
        <w:t xml:space="preserve"> de 4474. Les acheteurs chercheront à </w:t>
      </w:r>
      <w:r w:rsidR="00CD123C">
        <w:rPr>
          <w:rFonts w:ascii="Tahoma" w:hAnsi="Tahoma" w:cs="Tahoma"/>
        </w:rPr>
        <w:t>protéger</w:t>
      </w:r>
      <w:r>
        <w:rPr>
          <w:rFonts w:ascii="Tahoma" w:hAnsi="Tahoma" w:cs="Tahoma"/>
        </w:rPr>
        <w:t xml:space="preserve"> leurs positions et les </w:t>
      </w:r>
      <w:r w:rsidR="00CD123C">
        <w:rPr>
          <w:rFonts w:ascii="Tahoma" w:hAnsi="Tahoma" w:cs="Tahoma"/>
        </w:rPr>
        <w:t>prix</w:t>
      </w:r>
      <w:r>
        <w:rPr>
          <w:rFonts w:ascii="Tahoma" w:hAnsi="Tahoma" w:cs="Tahoma"/>
        </w:rPr>
        <w:t xml:space="preserve">  pourraient alors revenir sur le plat de TS de 4293.</w:t>
      </w:r>
    </w:p>
    <w:p w14:paraId="2862B446" w14:textId="3FCD5555" w:rsidR="00902D2F" w:rsidRDefault="00902D2F" w:rsidP="00B41C02">
      <w:pPr>
        <w:jc w:val="both"/>
        <w:rPr>
          <w:rFonts w:ascii="Tahoma" w:hAnsi="Tahoma" w:cs="Tahoma"/>
        </w:rPr>
      </w:pPr>
    </w:p>
    <w:p w14:paraId="685822D0" w14:textId="77777777" w:rsidR="006E32BB" w:rsidRDefault="006E32BB" w:rsidP="00B41C02">
      <w:pPr>
        <w:jc w:val="both"/>
        <w:rPr>
          <w:rFonts w:ascii="Tahoma" w:hAnsi="Tahoma" w:cs="Tahoma"/>
        </w:rPr>
      </w:pPr>
    </w:p>
    <w:p w14:paraId="374D1F17" w14:textId="02EBE857" w:rsidR="00583BC8"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6E32BB">
        <w:rPr>
          <w:rFonts w:ascii="Tahoma" w:hAnsi="Tahoma" w:cs="Tahoma"/>
        </w:rPr>
        <w:t>e</w:t>
      </w:r>
      <w:r w:rsidR="005E0C25">
        <w:rPr>
          <w:rFonts w:ascii="Tahoma" w:hAnsi="Tahoma" w:cs="Tahoma"/>
        </w:rPr>
        <w:t xml:space="preserve"> graphique </w:t>
      </w:r>
      <w:r w:rsidR="005E0C25" w:rsidRPr="005E0C25">
        <w:rPr>
          <w:rFonts w:ascii="Tahoma" w:hAnsi="Tahoma" w:cs="Tahoma"/>
          <w:u w:val="single"/>
        </w:rPr>
        <w:t>hebdomadaire</w:t>
      </w:r>
      <w:r w:rsidR="005E0C25">
        <w:rPr>
          <w:rFonts w:ascii="Tahoma" w:hAnsi="Tahoma" w:cs="Tahoma"/>
        </w:rPr>
        <w:t xml:space="preserve"> montre </w:t>
      </w:r>
      <w:r w:rsidR="000658C7">
        <w:rPr>
          <w:rFonts w:ascii="Tahoma" w:hAnsi="Tahoma" w:cs="Tahoma"/>
        </w:rPr>
        <w:t>l</w:t>
      </w:r>
      <w:r w:rsidR="005E0C25">
        <w:rPr>
          <w:rFonts w:ascii="Tahoma" w:hAnsi="Tahoma" w:cs="Tahoma"/>
        </w:rPr>
        <w:t>es signes d’affaiblissement du courant haussier.</w:t>
      </w:r>
    </w:p>
    <w:p w14:paraId="1675B8DF" w14:textId="1712AFD1" w:rsidR="00583BC8" w:rsidRDefault="00EE7223" w:rsidP="00B41C02">
      <w:pPr>
        <w:jc w:val="both"/>
        <w:rPr>
          <w:rFonts w:ascii="Tahoma" w:hAnsi="Tahoma" w:cs="Tahoma"/>
        </w:rPr>
      </w:pPr>
      <w:r>
        <w:rPr>
          <w:noProof/>
        </w:rPr>
        <w:drawing>
          <wp:inline distT="0" distB="0" distL="0" distR="0" wp14:anchorId="42EFB300" wp14:editId="45ABDF65">
            <wp:extent cx="5760720" cy="4323080"/>
            <wp:effectExtent l="0" t="0" r="0" b="1270"/>
            <wp:docPr id="195162113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3080"/>
                    </a:xfrm>
                    <a:prstGeom prst="rect">
                      <a:avLst/>
                    </a:prstGeom>
                    <a:noFill/>
                    <a:ln>
                      <a:noFill/>
                    </a:ln>
                  </pic:spPr>
                </pic:pic>
              </a:graphicData>
            </a:graphic>
          </wp:inline>
        </w:drawing>
      </w:r>
    </w:p>
    <w:p w14:paraId="67B8B186" w14:textId="1FDF167D" w:rsidR="00467005" w:rsidRDefault="005E0C25" w:rsidP="00041E45">
      <w:pPr>
        <w:jc w:val="both"/>
        <w:rPr>
          <w:rFonts w:ascii="Tahoma" w:hAnsi="Tahoma" w:cs="Tahoma"/>
        </w:rPr>
      </w:pPr>
      <w:r>
        <w:rPr>
          <w:rFonts w:ascii="Tahoma" w:hAnsi="Tahoma" w:cs="Tahoma"/>
        </w:rPr>
        <w:t xml:space="preserve">La formation qui </w:t>
      </w:r>
      <w:r w:rsidR="000658C7">
        <w:rPr>
          <w:rFonts w:ascii="Tahoma" w:hAnsi="Tahoma" w:cs="Tahoma"/>
        </w:rPr>
        <w:t>s’</w:t>
      </w:r>
      <w:r>
        <w:rPr>
          <w:rFonts w:ascii="Tahoma" w:hAnsi="Tahoma" w:cs="Tahoma"/>
        </w:rPr>
        <w:t>approche du sommet en tours se classe dans les figures de retournement.</w:t>
      </w:r>
      <w:r w:rsidR="001B21A9">
        <w:rPr>
          <w:rFonts w:ascii="Tahoma" w:hAnsi="Tahoma" w:cs="Tahoma"/>
        </w:rPr>
        <w:t xml:space="preserve"> Après un mouvement </w:t>
      </w:r>
      <w:r w:rsidR="000658C7">
        <w:rPr>
          <w:rFonts w:ascii="Tahoma" w:hAnsi="Tahoma" w:cs="Tahoma"/>
        </w:rPr>
        <w:t>de hausse</w:t>
      </w:r>
      <w:r w:rsidR="001B21A9">
        <w:rPr>
          <w:rFonts w:ascii="Tahoma" w:hAnsi="Tahoma" w:cs="Tahoma"/>
        </w:rPr>
        <w:t xml:space="preserve">, les petites chandelles nous indiquent </w:t>
      </w:r>
      <w:r w:rsidR="00A32B03">
        <w:rPr>
          <w:rFonts w:ascii="Tahoma" w:hAnsi="Tahoma" w:cs="Tahoma"/>
        </w:rPr>
        <w:t xml:space="preserve">que le marché a perdu de sa puissance </w:t>
      </w:r>
      <w:r w:rsidR="000658C7">
        <w:rPr>
          <w:rFonts w:ascii="Tahoma" w:hAnsi="Tahoma" w:cs="Tahoma"/>
        </w:rPr>
        <w:t>alors que</w:t>
      </w:r>
      <w:r w:rsidR="00A32B03">
        <w:rPr>
          <w:rFonts w:ascii="Tahoma" w:hAnsi="Tahoma" w:cs="Tahoma"/>
        </w:rPr>
        <w:t xml:space="preserve"> l’apparition de la dernière longue chandelle noire a asséché une bonne partie de la pression acheteuse.</w:t>
      </w:r>
    </w:p>
    <w:p w14:paraId="528AB093" w14:textId="3A3E63FF" w:rsidR="00A32B03" w:rsidRDefault="00A32B03" w:rsidP="00041E45">
      <w:pPr>
        <w:jc w:val="both"/>
        <w:rPr>
          <w:rFonts w:ascii="Tahoma" w:hAnsi="Tahoma" w:cs="Tahoma"/>
        </w:rPr>
      </w:pPr>
      <w:r>
        <w:rPr>
          <w:rFonts w:ascii="Tahoma" w:hAnsi="Tahoma" w:cs="Tahoma"/>
        </w:rPr>
        <w:t xml:space="preserve">Ainsi acheteurs et vendeurs ont défini un niveau de prix sur lequel ils vont maintenant se confronter. </w:t>
      </w:r>
      <w:r w:rsidR="004B4DD5">
        <w:rPr>
          <w:rFonts w:ascii="Tahoma" w:hAnsi="Tahoma" w:cs="Tahoma"/>
        </w:rPr>
        <w:t>Comme nous pouvons l’observer sur le graphique, ce</w:t>
      </w:r>
      <w:r>
        <w:rPr>
          <w:rFonts w:ascii="Tahoma" w:hAnsi="Tahoma" w:cs="Tahoma"/>
        </w:rPr>
        <w:t xml:space="preserve"> niveau </w:t>
      </w:r>
      <w:r w:rsidR="004B4DD5">
        <w:rPr>
          <w:rFonts w:ascii="Tahoma" w:hAnsi="Tahoma" w:cs="Tahoma"/>
        </w:rPr>
        <w:t>se situe sur 4474.</w:t>
      </w:r>
    </w:p>
    <w:p w14:paraId="42409204" w14:textId="6BB193C7" w:rsidR="0046439D" w:rsidRDefault="0046439D" w:rsidP="00041E45">
      <w:pPr>
        <w:jc w:val="both"/>
        <w:rPr>
          <w:rFonts w:ascii="Tahoma" w:hAnsi="Tahoma" w:cs="Tahoma"/>
        </w:rPr>
      </w:pPr>
      <w:r>
        <w:rPr>
          <w:rFonts w:ascii="Tahoma" w:hAnsi="Tahoma" w:cs="Tahoma"/>
        </w:rPr>
        <w:t xml:space="preserve">Il est </w:t>
      </w:r>
      <w:r w:rsidR="00CD123C">
        <w:rPr>
          <w:rFonts w:ascii="Tahoma" w:hAnsi="Tahoma" w:cs="Tahoma"/>
        </w:rPr>
        <w:t>intéressant</w:t>
      </w:r>
      <w:r>
        <w:rPr>
          <w:rFonts w:ascii="Tahoma" w:hAnsi="Tahoma" w:cs="Tahoma"/>
        </w:rPr>
        <w:t xml:space="preserve"> de constater que le plat de KS de cette unité de temps se situe sur 4293. Cela renforce le potentiel de </w:t>
      </w:r>
      <w:r w:rsidR="000658C7">
        <w:rPr>
          <w:rFonts w:ascii="Tahoma" w:hAnsi="Tahoma" w:cs="Tahoma"/>
        </w:rPr>
        <w:t>support</w:t>
      </w:r>
      <w:r>
        <w:rPr>
          <w:rFonts w:ascii="Tahoma" w:hAnsi="Tahoma" w:cs="Tahoma"/>
        </w:rPr>
        <w:t xml:space="preserve"> d</w:t>
      </w:r>
      <w:r w:rsidR="000658C7">
        <w:rPr>
          <w:rFonts w:ascii="Tahoma" w:hAnsi="Tahoma" w:cs="Tahoma"/>
        </w:rPr>
        <w:t>u</w:t>
      </w:r>
      <w:r>
        <w:rPr>
          <w:rFonts w:ascii="Tahoma" w:hAnsi="Tahoma" w:cs="Tahoma"/>
        </w:rPr>
        <w:t xml:space="preserve"> niveau et donne un objectif baissier si les vendeurs remportent la bataille.</w:t>
      </w:r>
    </w:p>
    <w:p w14:paraId="10BB9766" w14:textId="77777777" w:rsidR="00723F77" w:rsidRDefault="00723F77" w:rsidP="00041E45">
      <w:pPr>
        <w:jc w:val="both"/>
        <w:rPr>
          <w:rFonts w:ascii="Tahoma" w:hAnsi="Tahoma" w:cs="Tahoma"/>
        </w:rPr>
      </w:pPr>
    </w:p>
    <w:p w14:paraId="655E9AC0" w14:textId="66D1C8DF"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3410C1">
        <w:rPr>
          <w:rFonts w:ascii="Tahoma" w:hAnsi="Tahoma" w:cs="Tahoma"/>
        </w:rPr>
        <w:t xml:space="preserve"> En cassure de 4474, les vendeurs reprend</w:t>
      </w:r>
      <w:r w:rsidR="0056337C">
        <w:rPr>
          <w:rFonts w:ascii="Tahoma" w:hAnsi="Tahoma" w:cs="Tahoma"/>
        </w:rPr>
        <w:t>r</w:t>
      </w:r>
      <w:r w:rsidR="003410C1">
        <w:rPr>
          <w:rFonts w:ascii="Tahoma" w:hAnsi="Tahoma" w:cs="Tahoma"/>
        </w:rPr>
        <w:t>ont le dessus. L’objectif sera alors sur 4293.</w:t>
      </w:r>
    </w:p>
    <w:p w14:paraId="7ECBFD62" w14:textId="738D7CFF"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22FFB91E" w14:textId="48BB3A8F" w:rsidR="00723F77" w:rsidRPr="00723F77" w:rsidRDefault="00723F77" w:rsidP="00723F77">
      <w:pPr>
        <w:jc w:val="both"/>
        <w:rPr>
          <w:rFonts w:ascii="Arial" w:eastAsia="Calibri" w:hAnsi="Arial" w:cs="Arial"/>
          <w:b/>
          <w:i/>
          <w:sz w:val="24"/>
          <w:szCs w:val="24"/>
          <w:lang w:eastAsia="fr-FR"/>
        </w:rPr>
      </w:pPr>
      <w:r w:rsidRPr="00723F77">
        <w:rPr>
          <w:rFonts w:ascii="Arial" w:eastAsia="Calibri" w:hAnsi="Arial" w:cs="Arial"/>
          <w:b/>
          <w:i/>
          <w:color w:val="993366"/>
          <w:sz w:val="24"/>
          <w:szCs w:val="24"/>
          <w:lang w:eastAsia="fr-FR"/>
        </w:rPr>
        <w:lastRenderedPageBreak/>
        <w:t>TS (mauve)</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658C7"/>
    <w:rsid w:val="000833FB"/>
    <w:rsid w:val="00092058"/>
    <w:rsid w:val="000B7DFC"/>
    <w:rsid w:val="000D4ED3"/>
    <w:rsid w:val="001018AD"/>
    <w:rsid w:val="00105B4E"/>
    <w:rsid w:val="00134AFA"/>
    <w:rsid w:val="0014687D"/>
    <w:rsid w:val="0015581D"/>
    <w:rsid w:val="00163C46"/>
    <w:rsid w:val="001705F4"/>
    <w:rsid w:val="00190995"/>
    <w:rsid w:val="001B21A9"/>
    <w:rsid w:val="001D474B"/>
    <w:rsid w:val="001F650A"/>
    <w:rsid w:val="002003AD"/>
    <w:rsid w:val="002421FE"/>
    <w:rsid w:val="00262E25"/>
    <w:rsid w:val="00263ED0"/>
    <w:rsid w:val="002A1F8E"/>
    <w:rsid w:val="002B5CB1"/>
    <w:rsid w:val="002C0A31"/>
    <w:rsid w:val="002F54B0"/>
    <w:rsid w:val="0030643B"/>
    <w:rsid w:val="00337611"/>
    <w:rsid w:val="00340FD9"/>
    <w:rsid w:val="003410C1"/>
    <w:rsid w:val="00352DD9"/>
    <w:rsid w:val="003C2E49"/>
    <w:rsid w:val="0040171B"/>
    <w:rsid w:val="0046439D"/>
    <w:rsid w:val="00467005"/>
    <w:rsid w:val="004A5154"/>
    <w:rsid w:val="004B4DD5"/>
    <w:rsid w:val="004C305A"/>
    <w:rsid w:val="00531928"/>
    <w:rsid w:val="005440A4"/>
    <w:rsid w:val="00546A5A"/>
    <w:rsid w:val="0056337C"/>
    <w:rsid w:val="00566580"/>
    <w:rsid w:val="00567AF3"/>
    <w:rsid w:val="00583BC8"/>
    <w:rsid w:val="005E0C25"/>
    <w:rsid w:val="00654380"/>
    <w:rsid w:val="0069018B"/>
    <w:rsid w:val="006E32BB"/>
    <w:rsid w:val="00723F77"/>
    <w:rsid w:val="00744696"/>
    <w:rsid w:val="00772067"/>
    <w:rsid w:val="0077545D"/>
    <w:rsid w:val="00776272"/>
    <w:rsid w:val="007A0E6C"/>
    <w:rsid w:val="007B661D"/>
    <w:rsid w:val="007D19FF"/>
    <w:rsid w:val="007D2085"/>
    <w:rsid w:val="0083454A"/>
    <w:rsid w:val="00835AC6"/>
    <w:rsid w:val="00837B38"/>
    <w:rsid w:val="00896554"/>
    <w:rsid w:val="008A7407"/>
    <w:rsid w:val="008F10C2"/>
    <w:rsid w:val="00902D2F"/>
    <w:rsid w:val="00961FDF"/>
    <w:rsid w:val="00964B9F"/>
    <w:rsid w:val="00983B7D"/>
    <w:rsid w:val="009A37C2"/>
    <w:rsid w:val="009F3AB8"/>
    <w:rsid w:val="00A11606"/>
    <w:rsid w:val="00A26454"/>
    <w:rsid w:val="00A32B03"/>
    <w:rsid w:val="00A6401C"/>
    <w:rsid w:val="00A81AB7"/>
    <w:rsid w:val="00AE7F3B"/>
    <w:rsid w:val="00B1206E"/>
    <w:rsid w:val="00B2524E"/>
    <w:rsid w:val="00B34260"/>
    <w:rsid w:val="00B41C02"/>
    <w:rsid w:val="00B50E38"/>
    <w:rsid w:val="00B554B8"/>
    <w:rsid w:val="00B64EE0"/>
    <w:rsid w:val="00BB0E32"/>
    <w:rsid w:val="00BB6D9D"/>
    <w:rsid w:val="00BC77A5"/>
    <w:rsid w:val="00BD3FC1"/>
    <w:rsid w:val="00C17ED7"/>
    <w:rsid w:val="00C41F15"/>
    <w:rsid w:val="00C64501"/>
    <w:rsid w:val="00C70171"/>
    <w:rsid w:val="00C70A68"/>
    <w:rsid w:val="00C82E98"/>
    <w:rsid w:val="00CC7C21"/>
    <w:rsid w:val="00CD123C"/>
    <w:rsid w:val="00CE0886"/>
    <w:rsid w:val="00CF2516"/>
    <w:rsid w:val="00CF6D63"/>
    <w:rsid w:val="00D23B28"/>
    <w:rsid w:val="00D46C8D"/>
    <w:rsid w:val="00D91CEB"/>
    <w:rsid w:val="00DE5444"/>
    <w:rsid w:val="00DF072F"/>
    <w:rsid w:val="00E32014"/>
    <w:rsid w:val="00EB58BA"/>
    <w:rsid w:val="00EE7223"/>
    <w:rsid w:val="00EF6543"/>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557</TotalTime>
  <Pages>3</Pages>
  <Words>457</Words>
  <Characters>2516</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93</cp:revision>
  <dcterms:created xsi:type="dcterms:W3CDTF">2021-11-25T09:44:00Z</dcterms:created>
  <dcterms:modified xsi:type="dcterms:W3CDTF">2024-01-13T18:08:00Z</dcterms:modified>
</cp:coreProperties>
</file>