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05BD8FFA" w14:textId="1ABF7068" w:rsidR="0022520A" w:rsidRDefault="0022520A" w:rsidP="00B41C02">
      <w:pPr>
        <w:jc w:val="both"/>
        <w:rPr>
          <w:rFonts w:ascii="Tahoma" w:hAnsi="Tahoma" w:cs="Tahoma"/>
        </w:rPr>
      </w:pPr>
      <w:r>
        <w:rPr>
          <w:rFonts w:ascii="Tahoma" w:hAnsi="Tahoma" w:cs="Tahoma"/>
        </w:rPr>
        <w:t xml:space="preserve">Pour analyser </w:t>
      </w:r>
      <w:r>
        <w:rPr>
          <w:rFonts w:ascii="Tahoma" w:hAnsi="Tahoma" w:cs="Tahoma"/>
        </w:rPr>
        <w:t>le contrat Bund</w:t>
      </w:r>
      <w:r>
        <w:rPr>
          <w:rFonts w:ascii="Tahoma" w:hAnsi="Tahoma" w:cs="Tahoma"/>
        </w:rPr>
        <w:t xml:space="preserve">, je repars de ma dernière analyse </w:t>
      </w:r>
      <w:r w:rsidRPr="005E0C25">
        <w:rPr>
          <w:rFonts w:ascii="Tahoma" w:hAnsi="Tahoma" w:cs="Tahoma"/>
          <w:u w:val="single"/>
        </w:rPr>
        <w:t>mensuelle</w:t>
      </w:r>
      <w:r>
        <w:rPr>
          <w:rFonts w:ascii="Tahoma" w:hAnsi="Tahoma" w:cs="Tahoma"/>
        </w:rPr>
        <w:t xml:space="preserve"> effectuée fin novembre.</w:t>
      </w:r>
      <w:r w:rsidR="006C1FDC">
        <w:rPr>
          <w:rFonts w:ascii="Tahoma" w:hAnsi="Tahoma" w:cs="Tahoma"/>
        </w:rPr>
        <w:t xml:space="preserve"> La dernière chandelle n’est pas terminée mais elle nous indique actuellement qu’il existe un risque de correction.</w:t>
      </w:r>
    </w:p>
    <w:p w14:paraId="0FCD0CA6" w14:textId="2EC98833" w:rsidR="006C1FDC" w:rsidRDefault="006C1FDC" w:rsidP="00B41C02">
      <w:pPr>
        <w:jc w:val="both"/>
        <w:rPr>
          <w:rFonts w:ascii="Tahoma" w:hAnsi="Tahoma" w:cs="Tahoma"/>
        </w:rPr>
      </w:pPr>
      <w:r>
        <w:rPr>
          <w:noProof/>
        </w:rPr>
        <w:drawing>
          <wp:inline distT="0" distB="0" distL="0" distR="0" wp14:anchorId="047AD67C" wp14:editId="08EAB92A">
            <wp:extent cx="5760720" cy="4323080"/>
            <wp:effectExtent l="0" t="0" r="0" b="1270"/>
            <wp:docPr id="151193003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3080"/>
                    </a:xfrm>
                    <a:prstGeom prst="rect">
                      <a:avLst/>
                    </a:prstGeom>
                    <a:noFill/>
                    <a:ln>
                      <a:noFill/>
                    </a:ln>
                  </pic:spPr>
                </pic:pic>
              </a:graphicData>
            </a:graphic>
          </wp:inline>
        </w:drawing>
      </w:r>
    </w:p>
    <w:p w14:paraId="5C7DF7F5" w14:textId="14531CEF" w:rsidR="00A85216" w:rsidRDefault="00A85216" w:rsidP="00B41C02">
      <w:pPr>
        <w:jc w:val="both"/>
        <w:rPr>
          <w:rFonts w:ascii="Tahoma" w:hAnsi="Tahoma" w:cs="Tahoma"/>
        </w:rPr>
      </w:pPr>
      <w:r>
        <w:rPr>
          <w:rFonts w:ascii="Tahoma" w:hAnsi="Tahoma" w:cs="Tahoma"/>
        </w:rPr>
        <w:t>J’avais évoqué fin novembre la formation d’une structure de retournement haussière en étoile du matin. Cette dernière avait d’autant plus de chance de produire une hausse que sont point bas prenait appui sur un support mensuel</w:t>
      </w:r>
      <w:r w:rsidR="007D37EA">
        <w:rPr>
          <w:rFonts w:ascii="Tahoma" w:hAnsi="Tahoma" w:cs="Tahoma"/>
        </w:rPr>
        <w:t>, soit le plat d’une SSB passée</w:t>
      </w:r>
      <w:r w:rsidR="00D224CF">
        <w:rPr>
          <w:rFonts w:ascii="Tahoma" w:hAnsi="Tahoma" w:cs="Tahoma"/>
        </w:rPr>
        <w:t xml:space="preserve"> sur 127.09.</w:t>
      </w:r>
    </w:p>
    <w:p w14:paraId="0A90A458" w14:textId="3CFF81A8" w:rsidR="008E5B9F" w:rsidRDefault="006C1FDC" w:rsidP="00B41C02">
      <w:pPr>
        <w:jc w:val="both"/>
        <w:rPr>
          <w:rFonts w:ascii="Tahoma" w:hAnsi="Tahoma" w:cs="Tahoma"/>
        </w:rPr>
      </w:pPr>
      <w:r>
        <w:rPr>
          <w:rFonts w:ascii="Tahoma" w:hAnsi="Tahoma" w:cs="Tahoma"/>
        </w:rPr>
        <w:t xml:space="preserve">Ainsi les prix sont venus chercher un haut à 138.84 avant de corriger. </w:t>
      </w:r>
      <w:r w:rsidR="008E5B9F">
        <w:rPr>
          <w:rFonts w:ascii="Tahoma" w:hAnsi="Tahoma" w:cs="Tahoma"/>
        </w:rPr>
        <w:t>Pour le moment le marché est en mode correctif</w:t>
      </w:r>
      <w:r w:rsidR="00D224CF">
        <w:rPr>
          <w:rFonts w:ascii="Tahoma" w:hAnsi="Tahoma" w:cs="Tahoma"/>
        </w:rPr>
        <w:t>.</w:t>
      </w:r>
      <w:r w:rsidR="008E5B9F">
        <w:rPr>
          <w:rFonts w:ascii="Tahoma" w:hAnsi="Tahoma" w:cs="Tahoma"/>
        </w:rPr>
        <w:t xml:space="preserve"> </w:t>
      </w:r>
      <w:r w:rsidR="00D224CF">
        <w:rPr>
          <w:rFonts w:ascii="Tahoma" w:hAnsi="Tahoma" w:cs="Tahoma"/>
        </w:rPr>
        <w:t>Il</w:t>
      </w:r>
      <w:r w:rsidR="008E5B9F">
        <w:rPr>
          <w:rFonts w:ascii="Tahoma" w:hAnsi="Tahoma" w:cs="Tahoma"/>
        </w:rPr>
        <w:t xml:space="preserve"> </w:t>
      </w:r>
      <w:r w:rsidR="001F4561">
        <w:rPr>
          <w:rFonts w:ascii="Tahoma" w:hAnsi="Tahoma" w:cs="Tahoma"/>
        </w:rPr>
        <w:t>émet</w:t>
      </w:r>
      <w:r w:rsidR="008E5B9F">
        <w:rPr>
          <w:rFonts w:ascii="Tahoma" w:hAnsi="Tahoma" w:cs="Tahoma"/>
        </w:rPr>
        <w:t xml:space="preserve"> une alerte baissière mais il faudra attendre la fin du mois pour avoir confirmation de ce signal. </w:t>
      </w:r>
    </w:p>
    <w:p w14:paraId="0FC812E2" w14:textId="490F496C" w:rsidR="006C1FDC" w:rsidRPr="008E5B9F" w:rsidRDefault="008E5B9F" w:rsidP="00B41C02">
      <w:pPr>
        <w:jc w:val="both"/>
        <w:rPr>
          <w:rFonts w:ascii="Tahoma" w:hAnsi="Tahoma" w:cs="Tahoma"/>
        </w:rPr>
      </w:pPr>
      <w:r>
        <w:rPr>
          <w:rFonts w:ascii="Tahoma" w:hAnsi="Tahoma" w:cs="Tahoma"/>
        </w:rPr>
        <w:t xml:space="preserve">Quoi qu’il en soit, si les nouveaux acheteurs ont peur d’avoir acheté trop </w:t>
      </w:r>
      <w:r w:rsidR="001F4561">
        <w:rPr>
          <w:rFonts w:ascii="Tahoma" w:hAnsi="Tahoma" w:cs="Tahoma"/>
        </w:rPr>
        <w:t>tôt</w:t>
      </w:r>
      <w:r>
        <w:rPr>
          <w:rFonts w:ascii="Tahoma" w:hAnsi="Tahoma" w:cs="Tahoma"/>
        </w:rPr>
        <w:t xml:space="preserve">, il faudra attendre </w:t>
      </w:r>
      <w:r w:rsidR="00F26B96">
        <w:rPr>
          <w:rFonts w:ascii="Tahoma" w:hAnsi="Tahoma" w:cs="Tahoma"/>
        </w:rPr>
        <w:t>que les cours s’établissent durablement sous 135.07 pour envisager le début d’un basculement du rapport de force à l’avantage des baissiers.</w:t>
      </w:r>
      <w:r>
        <w:rPr>
          <w:rFonts w:ascii="Tahoma" w:hAnsi="Tahoma" w:cs="Tahoma"/>
        </w:rPr>
        <w:t xml:space="preserve">  </w:t>
      </w:r>
    </w:p>
    <w:p w14:paraId="2862B446" w14:textId="44782386" w:rsidR="00902D2F" w:rsidRDefault="00902D2F" w:rsidP="00B41C02">
      <w:pPr>
        <w:jc w:val="both"/>
        <w:rPr>
          <w:rFonts w:ascii="Tahoma" w:hAnsi="Tahoma" w:cs="Tahoma"/>
        </w:rPr>
      </w:pPr>
    </w:p>
    <w:p w14:paraId="685822D0" w14:textId="77777777" w:rsidR="006E32BB" w:rsidRDefault="006E32BB" w:rsidP="00B41C02">
      <w:pPr>
        <w:jc w:val="both"/>
        <w:rPr>
          <w:rFonts w:ascii="Tahoma" w:hAnsi="Tahoma" w:cs="Tahoma"/>
        </w:rPr>
      </w:pPr>
    </w:p>
    <w:p w14:paraId="7AC4D2D2" w14:textId="08274F7D" w:rsidR="00DF072F" w:rsidRDefault="00D224CF" w:rsidP="00B41C02">
      <w:pPr>
        <w:jc w:val="both"/>
        <w:rPr>
          <w:rFonts w:ascii="Tahoma" w:hAnsi="Tahoma" w:cs="Tahoma"/>
        </w:rPr>
      </w:pPr>
      <w:r>
        <w:rPr>
          <w:rFonts w:ascii="Tahoma" w:hAnsi="Tahoma" w:cs="Tahoma"/>
        </w:rPr>
        <w:t xml:space="preserve">En données </w:t>
      </w:r>
      <w:r w:rsidRPr="00D224CF">
        <w:rPr>
          <w:rFonts w:ascii="Tahoma" w:hAnsi="Tahoma" w:cs="Tahoma"/>
          <w:u w:val="single"/>
        </w:rPr>
        <w:t>hebdomadaires</w:t>
      </w:r>
      <w:r>
        <w:rPr>
          <w:rFonts w:ascii="Tahoma" w:hAnsi="Tahoma" w:cs="Tahoma"/>
        </w:rPr>
        <w:t>, l</w:t>
      </w:r>
      <w:r>
        <w:rPr>
          <w:rFonts w:ascii="Tahoma" w:hAnsi="Tahoma" w:cs="Tahoma"/>
        </w:rPr>
        <w:t>a hausse du marché a permis de retracer 38.2% de la baisse comprise entre 154.82 et 127.12.</w:t>
      </w:r>
    </w:p>
    <w:p w14:paraId="1675B8DF" w14:textId="274DB64C" w:rsidR="00583BC8" w:rsidRDefault="006D725A" w:rsidP="00B41C02">
      <w:pPr>
        <w:jc w:val="both"/>
        <w:rPr>
          <w:rFonts w:ascii="Tahoma" w:hAnsi="Tahoma" w:cs="Tahoma"/>
        </w:rPr>
      </w:pPr>
      <w:r>
        <w:rPr>
          <w:noProof/>
        </w:rPr>
        <w:lastRenderedPageBreak/>
        <w:drawing>
          <wp:inline distT="0" distB="0" distL="0" distR="0" wp14:anchorId="663485AE" wp14:editId="38ECA0F7">
            <wp:extent cx="5760720" cy="4323080"/>
            <wp:effectExtent l="0" t="0" r="0" b="1270"/>
            <wp:docPr id="1661527405"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3080"/>
                    </a:xfrm>
                    <a:prstGeom prst="rect">
                      <a:avLst/>
                    </a:prstGeom>
                    <a:noFill/>
                    <a:ln>
                      <a:noFill/>
                    </a:ln>
                  </pic:spPr>
                </pic:pic>
              </a:graphicData>
            </a:graphic>
          </wp:inline>
        </w:drawing>
      </w:r>
    </w:p>
    <w:p w14:paraId="67B8B186" w14:textId="0C1324C4" w:rsidR="00467005" w:rsidRDefault="001F4561" w:rsidP="00041E45">
      <w:pPr>
        <w:jc w:val="both"/>
        <w:rPr>
          <w:rFonts w:ascii="Tahoma" w:hAnsi="Tahoma" w:cs="Tahoma"/>
        </w:rPr>
      </w:pPr>
      <w:r>
        <w:rPr>
          <w:rFonts w:ascii="Tahoma" w:hAnsi="Tahoma" w:cs="Tahoma"/>
        </w:rPr>
        <w:t>Généralement</w:t>
      </w:r>
      <w:r w:rsidR="006132CA">
        <w:rPr>
          <w:rFonts w:ascii="Tahoma" w:hAnsi="Tahoma" w:cs="Tahoma"/>
        </w:rPr>
        <w:t xml:space="preserve"> les positions à contre tendance sont ouverte</w:t>
      </w:r>
      <w:r w:rsidR="008D26BA">
        <w:rPr>
          <w:rFonts w:ascii="Tahoma" w:hAnsi="Tahoma" w:cs="Tahoma"/>
        </w:rPr>
        <w:t>s</w:t>
      </w:r>
      <w:r w:rsidR="006132CA">
        <w:rPr>
          <w:rFonts w:ascii="Tahoma" w:hAnsi="Tahoma" w:cs="Tahoma"/>
        </w:rPr>
        <w:t xml:space="preserve"> </w:t>
      </w:r>
      <w:r>
        <w:rPr>
          <w:rFonts w:ascii="Tahoma" w:hAnsi="Tahoma" w:cs="Tahoma"/>
        </w:rPr>
        <w:t>au-delà</w:t>
      </w:r>
      <w:r w:rsidR="006132CA">
        <w:rPr>
          <w:rFonts w:ascii="Tahoma" w:hAnsi="Tahoma" w:cs="Tahoma"/>
        </w:rPr>
        <w:t xml:space="preserve"> de ce niveau de retracement. </w:t>
      </w:r>
      <w:r w:rsidR="00061D8B">
        <w:rPr>
          <w:rFonts w:ascii="Tahoma" w:hAnsi="Tahoma" w:cs="Tahoma"/>
        </w:rPr>
        <w:t xml:space="preserve">Je veux dire </w:t>
      </w:r>
      <w:r w:rsidR="008D26BA">
        <w:rPr>
          <w:rFonts w:ascii="Tahoma" w:hAnsi="Tahoma" w:cs="Tahoma"/>
        </w:rPr>
        <w:t>par là</w:t>
      </w:r>
      <w:r w:rsidR="00061D8B">
        <w:rPr>
          <w:rFonts w:ascii="Tahoma" w:hAnsi="Tahoma" w:cs="Tahoma"/>
        </w:rPr>
        <w:t>, ouverture de positions haussières dans une tendance baissière</w:t>
      </w:r>
      <w:r w:rsidR="008D26BA">
        <w:rPr>
          <w:rFonts w:ascii="Tahoma" w:hAnsi="Tahoma" w:cs="Tahoma"/>
        </w:rPr>
        <w:t xml:space="preserve">, soit mouvement correctif </w:t>
      </w:r>
      <w:r w:rsidR="00D224CF">
        <w:rPr>
          <w:rFonts w:ascii="Tahoma" w:hAnsi="Tahoma" w:cs="Tahoma"/>
        </w:rPr>
        <w:t xml:space="preserve">opposé à la </w:t>
      </w:r>
      <w:r w:rsidR="008D26BA">
        <w:rPr>
          <w:rFonts w:ascii="Tahoma" w:hAnsi="Tahoma" w:cs="Tahoma"/>
        </w:rPr>
        <w:t>tendance de fond</w:t>
      </w:r>
      <w:r w:rsidR="000202EB">
        <w:rPr>
          <w:rFonts w:ascii="Tahoma" w:hAnsi="Tahoma" w:cs="Tahoma"/>
        </w:rPr>
        <w:t xml:space="preserve">. On peut aussi penser que cette hausse a trouvé comme limite la zone de résistance de 140.00 matérialisée par les hauts de novembre 2022 et mars 2023. </w:t>
      </w:r>
    </w:p>
    <w:p w14:paraId="6981C737" w14:textId="2ED15E2D" w:rsidR="002A2A35" w:rsidRDefault="006658CC" w:rsidP="00041E45">
      <w:pPr>
        <w:jc w:val="both"/>
        <w:rPr>
          <w:rFonts w:ascii="Tahoma" w:hAnsi="Tahoma" w:cs="Tahoma"/>
        </w:rPr>
      </w:pPr>
      <w:r>
        <w:rPr>
          <w:rFonts w:ascii="Tahoma" w:hAnsi="Tahoma" w:cs="Tahoma"/>
        </w:rPr>
        <w:t>Le retournement baissier, issu d’u</w:t>
      </w:r>
      <w:r w:rsidR="002A2A35">
        <w:rPr>
          <w:rFonts w:ascii="Tahoma" w:hAnsi="Tahoma" w:cs="Tahoma"/>
        </w:rPr>
        <w:t xml:space="preserve">ne structure en étoile du soir, formée au cours des semaines passées a trouvé </w:t>
      </w:r>
      <w:r>
        <w:rPr>
          <w:rFonts w:ascii="Tahoma" w:hAnsi="Tahoma" w:cs="Tahoma"/>
        </w:rPr>
        <w:t>comme limite un doji sur 134.75.</w:t>
      </w:r>
      <w:r w:rsidR="004A208E">
        <w:rPr>
          <w:rFonts w:ascii="Tahoma" w:hAnsi="Tahoma" w:cs="Tahoma"/>
        </w:rPr>
        <w:t xml:space="preserve"> </w:t>
      </w:r>
      <w:r w:rsidR="00D224CF">
        <w:rPr>
          <w:rFonts w:ascii="Tahoma" w:hAnsi="Tahoma" w:cs="Tahoma"/>
        </w:rPr>
        <w:t xml:space="preserve">Maintenant </w:t>
      </w:r>
      <w:r w:rsidR="004A208E">
        <w:rPr>
          <w:rFonts w:ascii="Tahoma" w:hAnsi="Tahoma" w:cs="Tahoma"/>
        </w:rPr>
        <w:t xml:space="preserve">un dépassement de 136.30 sera </w:t>
      </w:r>
      <w:r w:rsidR="001F4561">
        <w:rPr>
          <w:rFonts w:ascii="Tahoma" w:hAnsi="Tahoma" w:cs="Tahoma"/>
        </w:rPr>
        <w:t>nécessaire</w:t>
      </w:r>
      <w:r w:rsidR="004A208E">
        <w:rPr>
          <w:rFonts w:ascii="Tahoma" w:hAnsi="Tahoma" w:cs="Tahoma"/>
        </w:rPr>
        <w:t xml:space="preserve"> pour </w:t>
      </w:r>
      <w:r w:rsidR="0005748B">
        <w:rPr>
          <w:rFonts w:ascii="Tahoma" w:hAnsi="Tahoma" w:cs="Tahoma"/>
        </w:rPr>
        <w:t>envisager un retour du courant acheteur.</w:t>
      </w:r>
    </w:p>
    <w:p w14:paraId="10BB9766" w14:textId="0EB3668E" w:rsidR="00723F77" w:rsidRDefault="00D224CF" w:rsidP="00041E45">
      <w:pPr>
        <w:jc w:val="both"/>
        <w:rPr>
          <w:rFonts w:ascii="Tahoma" w:hAnsi="Tahoma" w:cs="Tahoma"/>
        </w:rPr>
      </w:pPr>
      <w:r>
        <w:rPr>
          <w:rFonts w:ascii="Tahoma" w:hAnsi="Tahoma" w:cs="Tahoma"/>
        </w:rPr>
        <w:t>Le contrat Bund évolue</w:t>
      </w:r>
      <w:r w:rsidR="0005748B">
        <w:rPr>
          <w:rFonts w:ascii="Tahoma" w:hAnsi="Tahoma" w:cs="Tahoma"/>
        </w:rPr>
        <w:t xml:space="preserve"> dans son nuage. Il se situe sur ses niveaux d’équilibre de moyen terme.</w:t>
      </w:r>
      <w:r w:rsidR="005672B1">
        <w:rPr>
          <w:rFonts w:ascii="Tahoma" w:hAnsi="Tahoma" w:cs="Tahoma"/>
        </w:rPr>
        <w:t xml:space="preserve"> Borne basse du nuage et plat de KS seront des points de support opportuns en maintien des cours sous 136.30. Ces derniers seront respectivement sur 133.78 et 132.98 au cours de la semaine à venir.</w:t>
      </w:r>
    </w:p>
    <w:p w14:paraId="18D27C7D" w14:textId="77777777" w:rsidR="00D224CF" w:rsidRDefault="00D224CF" w:rsidP="00041E45">
      <w:pPr>
        <w:jc w:val="both"/>
        <w:rPr>
          <w:rFonts w:ascii="Tahoma" w:hAnsi="Tahoma" w:cs="Tahoma"/>
        </w:rPr>
      </w:pPr>
    </w:p>
    <w:p w14:paraId="6E428007" w14:textId="79856CFF" w:rsidR="00EE6B93" w:rsidRDefault="00B94D71" w:rsidP="00041E45">
      <w:pPr>
        <w:jc w:val="both"/>
        <w:rPr>
          <w:rFonts w:ascii="Tahoma" w:hAnsi="Tahoma" w:cs="Tahoma"/>
        </w:rPr>
      </w:pPr>
      <w:r>
        <w:rPr>
          <w:rFonts w:ascii="Tahoma" w:hAnsi="Tahoma" w:cs="Tahoma"/>
          <w:u w:val="single"/>
        </w:rPr>
        <w:t>CONCLUSION</w:t>
      </w:r>
      <w:r>
        <w:rPr>
          <w:rFonts w:ascii="Tahoma" w:hAnsi="Tahoma" w:cs="Tahoma"/>
        </w:rPr>
        <w:t> :</w:t>
      </w:r>
      <w:r w:rsidR="00E74187">
        <w:rPr>
          <w:rFonts w:ascii="Tahoma" w:hAnsi="Tahoma" w:cs="Tahoma"/>
        </w:rPr>
        <w:t xml:space="preserve"> Le rebond du marché a atteint un niveau qui laisse peu de place à une poursuite de la hausse.</w:t>
      </w:r>
      <w:r w:rsidR="00627C20">
        <w:rPr>
          <w:rFonts w:ascii="Tahoma" w:hAnsi="Tahoma" w:cs="Tahoma"/>
        </w:rPr>
        <w:t xml:space="preserve"> Pour autant, la baisse si elle devait se poursuivre en maintien des prix sous 136.30 </w:t>
      </w:r>
      <w:r w:rsidR="002F72D6">
        <w:rPr>
          <w:rFonts w:ascii="Tahoma" w:hAnsi="Tahoma" w:cs="Tahoma"/>
        </w:rPr>
        <w:t>ne prendra de l’ampleur qu’</w:t>
      </w:r>
      <w:r w:rsidR="00627C20">
        <w:rPr>
          <w:rFonts w:ascii="Tahoma" w:hAnsi="Tahoma" w:cs="Tahoma"/>
        </w:rPr>
        <w:t>en cassure de 135.07</w:t>
      </w:r>
      <w:r w:rsidR="002F72D6">
        <w:rPr>
          <w:rFonts w:ascii="Tahoma" w:hAnsi="Tahoma" w:cs="Tahoma"/>
        </w:rPr>
        <w:t xml:space="preserve">. Quoi qu’il en soit, elle </w:t>
      </w:r>
      <w:r w:rsidR="00627C20">
        <w:rPr>
          <w:rFonts w:ascii="Tahoma" w:hAnsi="Tahoma" w:cs="Tahoma"/>
        </w:rPr>
        <w:t>restera inscrite dans un mouvement correctif tant que 132.98 servira de support.</w:t>
      </w: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02EB"/>
    <w:rsid w:val="0002580A"/>
    <w:rsid w:val="00041E45"/>
    <w:rsid w:val="000524C5"/>
    <w:rsid w:val="000556C3"/>
    <w:rsid w:val="0005748B"/>
    <w:rsid w:val="00061D8B"/>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474B"/>
    <w:rsid w:val="001F4561"/>
    <w:rsid w:val="001F650A"/>
    <w:rsid w:val="002003AD"/>
    <w:rsid w:val="0022520A"/>
    <w:rsid w:val="002421FE"/>
    <w:rsid w:val="002428A3"/>
    <w:rsid w:val="00262E25"/>
    <w:rsid w:val="00263ED0"/>
    <w:rsid w:val="002A1F8E"/>
    <w:rsid w:val="002A2A35"/>
    <w:rsid w:val="002B5CB1"/>
    <w:rsid w:val="002C0A31"/>
    <w:rsid w:val="002F54B0"/>
    <w:rsid w:val="002F72D6"/>
    <w:rsid w:val="00303214"/>
    <w:rsid w:val="0030643B"/>
    <w:rsid w:val="00337611"/>
    <w:rsid w:val="00340FD9"/>
    <w:rsid w:val="00352DD9"/>
    <w:rsid w:val="003767E0"/>
    <w:rsid w:val="00397D3D"/>
    <w:rsid w:val="0040171B"/>
    <w:rsid w:val="00467005"/>
    <w:rsid w:val="004A208E"/>
    <w:rsid w:val="004A2D2D"/>
    <w:rsid w:val="004A5154"/>
    <w:rsid w:val="004A73D3"/>
    <w:rsid w:val="004F48EE"/>
    <w:rsid w:val="00531928"/>
    <w:rsid w:val="005440A4"/>
    <w:rsid w:val="00546A5A"/>
    <w:rsid w:val="00566580"/>
    <w:rsid w:val="005672B1"/>
    <w:rsid w:val="00567AF3"/>
    <w:rsid w:val="00583BC8"/>
    <w:rsid w:val="006132CA"/>
    <w:rsid w:val="00627C20"/>
    <w:rsid w:val="00654380"/>
    <w:rsid w:val="00664BE1"/>
    <w:rsid w:val="006658CC"/>
    <w:rsid w:val="006B055C"/>
    <w:rsid w:val="006C1FDC"/>
    <w:rsid w:val="006D725A"/>
    <w:rsid w:val="006E32BB"/>
    <w:rsid w:val="006E38E0"/>
    <w:rsid w:val="00710599"/>
    <w:rsid w:val="00723F77"/>
    <w:rsid w:val="00744696"/>
    <w:rsid w:val="00772067"/>
    <w:rsid w:val="0077545D"/>
    <w:rsid w:val="007A0A4B"/>
    <w:rsid w:val="007A0E6C"/>
    <w:rsid w:val="007B1237"/>
    <w:rsid w:val="007B3EC8"/>
    <w:rsid w:val="007B661D"/>
    <w:rsid w:val="007D19FF"/>
    <w:rsid w:val="007D2085"/>
    <w:rsid w:val="007D37EA"/>
    <w:rsid w:val="007D4181"/>
    <w:rsid w:val="0083454A"/>
    <w:rsid w:val="00837B38"/>
    <w:rsid w:val="00896554"/>
    <w:rsid w:val="008A7407"/>
    <w:rsid w:val="008D26BA"/>
    <w:rsid w:val="008E5B9F"/>
    <w:rsid w:val="008F10C2"/>
    <w:rsid w:val="00902D2F"/>
    <w:rsid w:val="00961FDF"/>
    <w:rsid w:val="00983B7D"/>
    <w:rsid w:val="009A37C2"/>
    <w:rsid w:val="009F3AB8"/>
    <w:rsid w:val="00A11606"/>
    <w:rsid w:val="00A6401C"/>
    <w:rsid w:val="00A81AB7"/>
    <w:rsid w:val="00A85216"/>
    <w:rsid w:val="00AA522C"/>
    <w:rsid w:val="00AE7F3B"/>
    <w:rsid w:val="00B34260"/>
    <w:rsid w:val="00B41C02"/>
    <w:rsid w:val="00B4335A"/>
    <w:rsid w:val="00B50E38"/>
    <w:rsid w:val="00B554B8"/>
    <w:rsid w:val="00B64EE0"/>
    <w:rsid w:val="00B94D71"/>
    <w:rsid w:val="00BB0E32"/>
    <w:rsid w:val="00BB6D9D"/>
    <w:rsid w:val="00BC77A5"/>
    <w:rsid w:val="00BD3FC1"/>
    <w:rsid w:val="00C17ED7"/>
    <w:rsid w:val="00C41F15"/>
    <w:rsid w:val="00C70171"/>
    <w:rsid w:val="00C70A68"/>
    <w:rsid w:val="00C82E98"/>
    <w:rsid w:val="00CB17C9"/>
    <w:rsid w:val="00CC72FF"/>
    <w:rsid w:val="00CC7C21"/>
    <w:rsid w:val="00CE0886"/>
    <w:rsid w:val="00CF2516"/>
    <w:rsid w:val="00CF6D63"/>
    <w:rsid w:val="00D224CF"/>
    <w:rsid w:val="00D23B28"/>
    <w:rsid w:val="00D46C8D"/>
    <w:rsid w:val="00DA1359"/>
    <w:rsid w:val="00DE5444"/>
    <w:rsid w:val="00DF072F"/>
    <w:rsid w:val="00E32014"/>
    <w:rsid w:val="00E3727C"/>
    <w:rsid w:val="00E74187"/>
    <w:rsid w:val="00EB58BA"/>
    <w:rsid w:val="00EE6B93"/>
    <w:rsid w:val="00F04A6E"/>
    <w:rsid w:val="00F04DEF"/>
    <w:rsid w:val="00F26B96"/>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667</TotalTime>
  <Pages>3</Pages>
  <Words>502</Words>
  <Characters>2765</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115</cp:revision>
  <dcterms:created xsi:type="dcterms:W3CDTF">2021-11-25T09:44:00Z</dcterms:created>
  <dcterms:modified xsi:type="dcterms:W3CDTF">2024-01-13T18:16:00Z</dcterms:modified>
</cp:coreProperties>
</file>