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D3BA39C" w:rsidR="00902D2F" w:rsidRDefault="00EF321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ACF629C" wp14:editId="5CE40ECE">
            <wp:extent cx="5760720" cy="4323080"/>
            <wp:effectExtent l="0" t="0" r="0" b="1270"/>
            <wp:docPr id="83942740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2E312317" w:rsidR="00DF072F" w:rsidRDefault="00B87D5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Nouvelle petite chandelle sans conviction qui a pris naissance sur le support concrétisé par la bordure inférieure du nuage.</w:t>
      </w:r>
    </w:p>
    <w:p w14:paraId="79F9093A" w14:textId="77777777" w:rsidR="00D93D1F" w:rsidRDefault="00B87D5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bougie pourrait être le début d’un retour du mouvement haussier. Après plusieurs semaines de baisse, la structure directionnelle de ce doji plaide pour ce changement.</w:t>
      </w:r>
    </w:p>
    <w:p w14:paraId="27890C5D" w14:textId="03D2946A" w:rsidR="00B87D5D" w:rsidRDefault="00492EB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</w:t>
      </w:r>
      <w:r w:rsidR="00437963">
        <w:rPr>
          <w:rFonts w:ascii="Tahoma" w:hAnsi="Tahoma" w:cs="Tahoma"/>
        </w:rPr>
        <w:t>le plat</w:t>
      </w:r>
      <w:r>
        <w:rPr>
          <w:rFonts w:ascii="Tahoma" w:hAnsi="Tahoma" w:cs="Tahoma"/>
        </w:rPr>
        <w:t xml:space="preserve"> de KS de 132.97 restera le support </w:t>
      </w:r>
      <w:r w:rsidR="0043796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duquel la reprise de la hausse des prix sera avantagée.</w:t>
      </w:r>
      <w:r w:rsidR="00B87D5D">
        <w:rPr>
          <w:rFonts w:ascii="Tahoma" w:hAnsi="Tahoma" w:cs="Tahoma"/>
        </w:rPr>
        <w:t xml:space="preserve"> 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710BA38C" w14:textId="4E22F015" w:rsidR="00163C46" w:rsidRDefault="00EF3219" w:rsidP="00263ED0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7805E19F" wp14:editId="2A16969C">
            <wp:extent cx="5760720" cy="4323080"/>
            <wp:effectExtent l="0" t="0" r="0" b="1270"/>
            <wp:docPr id="153272334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58E5C56B" w:rsidR="00467005" w:rsidRDefault="004A2D2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</w:t>
      </w:r>
      <w:r w:rsidR="00492EBD">
        <w:rPr>
          <w:rFonts w:ascii="Tahoma" w:hAnsi="Tahoma" w:cs="Tahoma"/>
        </w:rPr>
        <w:t>ur cette unité de temps, j’ai évoqué la semaine dernière une formation en creux en pince sur 133.70 qui donnait du potentiel à une hausse du contrat.</w:t>
      </w:r>
    </w:p>
    <w:p w14:paraId="600BAE11" w14:textId="65C3D811" w:rsidR="00492EBD" w:rsidRDefault="00492EB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cours sont venus chercher un plus bas à 133.55 avant de rebondir sous la forme d’un avalement. Ainsi la dynamique des prix nous </w:t>
      </w:r>
      <w:r w:rsidR="001119E5">
        <w:rPr>
          <w:rFonts w:ascii="Tahoma" w:hAnsi="Tahoma" w:cs="Tahoma"/>
        </w:rPr>
        <w:t>indique l’existence d’une zone, comprise entre 133.55 et 133.70, susceptible de permettre au Bund de rebondir.</w:t>
      </w:r>
    </w:p>
    <w:p w14:paraId="38BFAA5D" w14:textId="2FC6C35C" w:rsidR="00B92573" w:rsidRDefault="00B9257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Deux points seront à surveiller cette semaine pour valider cette éventualité. Le premier est matérialisé par le point médian</w:t>
      </w:r>
      <w:r w:rsidR="008E0441" w:rsidRPr="008E0441">
        <w:rPr>
          <w:rFonts w:ascii="Tahoma" w:hAnsi="Tahoma" w:cs="Tahoma"/>
        </w:rPr>
        <w:t xml:space="preserve"> </w:t>
      </w:r>
      <w:r w:rsidR="008E0441">
        <w:rPr>
          <w:rFonts w:ascii="Tahoma" w:hAnsi="Tahoma" w:cs="Tahoma"/>
        </w:rPr>
        <w:t>de 134.09</w:t>
      </w:r>
      <w:r>
        <w:rPr>
          <w:rFonts w:ascii="Tahoma" w:hAnsi="Tahoma" w:cs="Tahoma"/>
        </w:rPr>
        <w:t xml:space="preserve"> de la dernière bougie blanche (J-2)</w:t>
      </w:r>
      <w:r w:rsidR="00894975">
        <w:rPr>
          <w:rFonts w:ascii="Tahoma" w:hAnsi="Tahoma" w:cs="Tahoma"/>
        </w:rPr>
        <w:t xml:space="preserve">. Le maintien des prix </w:t>
      </w:r>
      <w:r w:rsidR="00437963">
        <w:rPr>
          <w:rFonts w:ascii="Tahoma" w:hAnsi="Tahoma" w:cs="Tahoma"/>
        </w:rPr>
        <w:t>au-dessus</w:t>
      </w:r>
      <w:r w:rsidR="00894975">
        <w:rPr>
          <w:rFonts w:ascii="Tahoma" w:hAnsi="Tahoma" w:cs="Tahoma"/>
        </w:rPr>
        <w:t xml:space="preserve"> de ce point indiquera que les acheteurs sont toujours actifs. </w:t>
      </w:r>
      <w:r w:rsidR="00972B73">
        <w:rPr>
          <w:rFonts w:ascii="Tahoma" w:hAnsi="Tahoma" w:cs="Tahoma"/>
        </w:rPr>
        <w:t xml:space="preserve">Le second point représente la ligne de cou sur </w:t>
      </w:r>
      <w:r w:rsidR="00E2740F">
        <w:rPr>
          <w:rFonts w:ascii="Tahoma" w:hAnsi="Tahoma" w:cs="Tahoma"/>
        </w:rPr>
        <w:t xml:space="preserve">134.50 </w:t>
      </w:r>
      <w:r w:rsidR="00972B73">
        <w:rPr>
          <w:rFonts w:ascii="Tahoma" w:hAnsi="Tahoma" w:cs="Tahoma"/>
        </w:rPr>
        <w:t>d’un double creux irrégulier</w:t>
      </w:r>
      <w:r w:rsidR="00E2740F">
        <w:rPr>
          <w:rFonts w:ascii="Tahoma" w:hAnsi="Tahoma" w:cs="Tahoma"/>
        </w:rPr>
        <w:t xml:space="preserve"> qui en cassure donnera un objectif théorique sur 135.30-135.45.</w:t>
      </w:r>
    </w:p>
    <w:p w14:paraId="627A35B3" w14:textId="47B6828C" w:rsidR="00B05823" w:rsidRDefault="00B0582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ce contexte, le rapport de force avantagera les acheteurs en maintien du contrat </w:t>
      </w:r>
      <w:r w:rsidR="00437963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134.09 et permettra d’envisager une reprise de la hausse en dépassement de 134.50.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6FD039A4" w:rsidR="00B94D71" w:rsidRPr="00F54D5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</w:t>
      </w:r>
      <w:r w:rsidR="006B5276">
        <w:rPr>
          <w:rFonts w:ascii="Tahoma" w:hAnsi="Tahoma" w:cs="Tahoma"/>
          <w:u w:val="single"/>
        </w:rPr>
        <w:t>N</w:t>
      </w:r>
      <w:r w:rsidR="00F54D51">
        <w:rPr>
          <w:rFonts w:ascii="Tahoma" w:hAnsi="Tahoma" w:cs="Tahoma"/>
        </w:rPr>
        <w:t xml:space="preserve"> : </w:t>
      </w:r>
      <w:r w:rsidR="00022202">
        <w:rPr>
          <w:rFonts w:ascii="Tahoma" w:hAnsi="Tahoma" w:cs="Tahoma"/>
        </w:rPr>
        <w:t>Bon support sur 132.97. Ce support sera envisagé si le double creux irrégulier ne donne pas une cassure de 134.50.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2202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119E5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37963"/>
    <w:rsid w:val="00467005"/>
    <w:rsid w:val="00492EBD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B5276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4975"/>
    <w:rsid w:val="00896554"/>
    <w:rsid w:val="008A7407"/>
    <w:rsid w:val="008D0D8B"/>
    <w:rsid w:val="008E0441"/>
    <w:rsid w:val="008F10C2"/>
    <w:rsid w:val="00902D2F"/>
    <w:rsid w:val="00961FDF"/>
    <w:rsid w:val="00972B73"/>
    <w:rsid w:val="00983B7D"/>
    <w:rsid w:val="009A37C2"/>
    <w:rsid w:val="009F3AB8"/>
    <w:rsid w:val="00A11606"/>
    <w:rsid w:val="00A6401C"/>
    <w:rsid w:val="00A81AB7"/>
    <w:rsid w:val="00AA522C"/>
    <w:rsid w:val="00AE7F3B"/>
    <w:rsid w:val="00B05823"/>
    <w:rsid w:val="00B34260"/>
    <w:rsid w:val="00B41C02"/>
    <w:rsid w:val="00B4335A"/>
    <w:rsid w:val="00B50E38"/>
    <w:rsid w:val="00B554B8"/>
    <w:rsid w:val="00B64EE0"/>
    <w:rsid w:val="00B87D5D"/>
    <w:rsid w:val="00B92573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93D1F"/>
    <w:rsid w:val="00DA1359"/>
    <w:rsid w:val="00DE5444"/>
    <w:rsid w:val="00DF072F"/>
    <w:rsid w:val="00E2740F"/>
    <w:rsid w:val="00E32014"/>
    <w:rsid w:val="00E3727C"/>
    <w:rsid w:val="00EB58BA"/>
    <w:rsid w:val="00EE6B93"/>
    <w:rsid w:val="00EF3219"/>
    <w:rsid w:val="00F04A6E"/>
    <w:rsid w:val="00F04DEF"/>
    <w:rsid w:val="00F31070"/>
    <w:rsid w:val="00F53F10"/>
    <w:rsid w:val="00F54D51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3</Pages>
  <Words>382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2024-01-27T14:31:00Z</dcterms:modified>
</cp:coreProperties>
</file>