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434425A" w:rsidR="00902D2F" w:rsidRDefault="00EB7452" w:rsidP="00B41C02">
      <w:pPr>
        <w:jc w:val="both"/>
        <w:rPr>
          <w:rFonts w:ascii="Tahoma" w:hAnsi="Tahoma" w:cs="Tahoma"/>
        </w:rPr>
      </w:pPr>
      <w:r>
        <w:rPr>
          <w:noProof/>
        </w:rPr>
        <w:drawing>
          <wp:inline distT="0" distB="0" distL="0" distR="0" wp14:anchorId="6D7F7EDD" wp14:editId="3A690E1A">
            <wp:extent cx="5760720" cy="4320540"/>
            <wp:effectExtent l="0" t="0" r="0" b="3810"/>
            <wp:docPr id="14470504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0932623" w:rsidR="001705F4" w:rsidRDefault="00BB6D9D" w:rsidP="00263ED0">
      <w:pPr>
        <w:jc w:val="both"/>
        <w:rPr>
          <w:rFonts w:ascii="Tahoma" w:hAnsi="Tahoma" w:cs="Tahoma"/>
        </w:rPr>
      </w:pPr>
      <w:r>
        <w:rPr>
          <w:rFonts w:ascii="Tahoma" w:hAnsi="Tahoma" w:cs="Tahoma"/>
        </w:rPr>
        <w:t xml:space="preserve"> </w:t>
      </w:r>
      <w:r w:rsidR="00C903FE">
        <w:rPr>
          <w:rFonts w:ascii="Tahoma" w:hAnsi="Tahoma" w:cs="Tahoma"/>
        </w:rPr>
        <w:t xml:space="preserve">Nouveau plus haut cette semaine à 4782 pour une </w:t>
      </w:r>
      <w:r w:rsidR="001851CA">
        <w:rPr>
          <w:rFonts w:ascii="Tahoma" w:hAnsi="Tahoma" w:cs="Tahoma"/>
        </w:rPr>
        <w:t>clôture</w:t>
      </w:r>
      <w:r w:rsidR="00C903FE">
        <w:rPr>
          <w:rFonts w:ascii="Tahoma" w:hAnsi="Tahoma" w:cs="Tahoma"/>
        </w:rPr>
        <w:t xml:space="preserve"> à 4765.</w:t>
      </w:r>
    </w:p>
    <w:p w14:paraId="7DAA907C" w14:textId="16F6D4CA" w:rsidR="00C903FE" w:rsidRDefault="00C903FE" w:rsidP="00263ED0">
      <w:pPr>
        <w:jc w:val="both"/>
        <w:rPr>
          <w:rFonts w:ascii="Tahoma" w:hAnsi="Tahoma" w:cs="Tahoma"/>
        </w:rPr>
      </w:pPr>
      <w:r>
        <w:rPr>
          <w:rFonts w:ascii="Tahoma" w:hAnsi="Tahoma" w:cs="Tahoma"/>
        </w:rPr>
        <w:t xml:space="preserve">Cette nouvelle chandelle blanche confirme </w:t>
      </w:r>
      <w:r w:rsidR="00136515">
        <w:rPr>
          <w:rFonts w:ascii="Tahoma" w:hAnsi="Tahoma" w:cs="Tahoma"/>
        </w:rPr>
        <w:t>une fois de plus la domination des acheteurs. Sa mèche basse nous montre que dans le contexte actuel</w:t>
      </w:r>
      <w:r w:rsidR="00137DC4">
        <w:rPr>
          <w:rFonts w:ascii="Tahoma" w:hAnsi="Tahoma" w:cs="Tahoma"/>
        </w:rPr>
        <w:t>,</w:t>
      </w:r>
      <w:r w:rsidR="00136515">
        <w:rPr>
          <w:rFonts w:ascii="Tahoma" w:hAnsi="Tahoma" w:cs="Tahoma"/>
        </w:rPr>
        <w:t xml:space="preserve"> les baisses de prix sont </w:t>
      </w:r>
      <w:r w:rsidR="00131314">
        <w:rPr>
          <w:rFonts w:ascii="Tahoma" w:hAnsi="Tahoma" w:cs="Tahoma"/>
        </w:rPr>
        <w:t>considérées comme des opportunités d’achats.</w:t>
      </w:r>
    </w:p>
    <w:p w14:paraId="38B7F8CE" w14:textId="41E8375A" w:rsidR="00B70DF0" w:rsidRDefault="00B70DF0" w:rsidP="00263ED0">
      <w:pPr>
        <w:jc w:val="both"/>
        <w:rPr>
          <w:rFonts w:ascii="Tahoma" w:hAnsi="Tahoma" w:cs="Tahoma"/>
        </w:rPr>
      </w:pPr>
      <w:r>
        <w:rPr>
          <w:rFonts w:ascii="Tahoma" w:hAnsi="Tahoma" w:cs="Tahoma"/>
        </w:rPr>
        <w:t xml:space="preserve">Pas de chose à rajouter si ce n’est que la progression des prix de ces dernières semaines, a placé le marché dans une environnement suracheté. Cette situation est confirmée par l’écart </w:t>
      </w:r>
      <w:r w:rsidR="00137DC4">
        <w:rPr>
          <w:rFonts w:ascii="Tahoma" w:hAnsi="Tahoma" w:cs="Tahoma"/>
        </w:rPr>
        <w:t>toujours</w:t>
      </w:r>
      <w:r>
        <w:rPr>
          <w:rFonts w:ascii="Tahoma" w:hAnsi="Tahoma" w:cs="Tahoma"/>
        </w:rPr>
        <w:t xml:space="preserve"> trop important entre prix et TS.</w:t>
      </w:r>
    </w:p>
    <w:p w14:paraId="74D7162F" w14:textId="77777777" w:rsidR="00B70DF0" w:rsidRDefault="00B70DF0" w:rsidP="00263ED0">
      <w:pPr>
        <w:jc w:val="both"/>
        <w:rPr>
          <w:rFonts w:ascii="Tahoma" w:hAnsi="Tahoma" w:cs="Tahoma"/>
        </w:rPr>
      </w:pP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4639357" w:rsidR="00583BC8" w:rsidRDefault="00EB7452" w:rsidP="00B41C02">
      <w:pPr>
        <w:jc w:val="both"/>
        <w:rPr>
          <w:rFonts w:ascii="Tahoma" w:hAnsi="Tahoma" w:cs="Tahoma"/>
        </w:rPr>
      </w:pPr>
      <w:r>
        <w:rPr>
          <w:noProof/>
        </w:rPr>
        <w:lastRenderedPageBreak/>
        <w:drawing>
          <wp:inline distT="0" distB="0" distL="0" distR="0" wp14:anchorId="6625F0B7" wp14:editId="10B172EC">
            <wp:extent cx="5760720" cy="4320540"/>
            <wp:effectExtent l="0" t="0" r="0" b="3810"/>
            <wp:docPr id="182728519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C73206D" w:rsidR="00163C46" w:rsidRDefault="00685098" w:rsidP="00263ED0">
      <w:pPr>
        <w:jc w:val="both"/>
        <w:rPr>
          <w:rFonts w:ascii="Tahoma" w:hAnsi="Tahoma" w:cs="Tahoma"/>
        </w:rPr>
      </w:pPr>
      <w:r>
        <w:rPr>
          <w:rFonts w:ascii="Tahoma" w:hAnsi="Tahoma" w:cs="Tahoma"/>
        </w:rPr>
        <w:t>P</w:t>
      </w:r>
      <w:r w:rsidR="001851CA">
        <w:rPr>
          <w:rFonts w:ascii="Tahoma" w:hAnsi="Tahoma" w:cs="Tahoma"/>
        </w:rPr>
        <w:t>iège</w:t>
      </w:r>
      <w:r w:rsidR="00D87A78">
        <w:rPr>
          <w:rFonts w:ascii="Tahoma" w:hAnsi="Tahoma" w:cs="Tahoma"/>
        </w:rPr>
        <w:t xml:space="preserve"> </w:t>
      </w:r>
      <w:r>
        <w:rPr>
          <w:rFonts w:ascii="Tahoma" w:hAnsi="Tahoma" w:cs="Tahoma"/>
        </w:rPr>
        <w:t>sur le</w:t>
      </w:r>
      <w:r w:rsidR="00D87A78">
        <w:rPr>
          <w:rFonts w:ascii="Tahoma" w:hAnsi="Tahoma" w:cs="Tahoma"/>
        </w:rPr>
        <w:t xml:space="preserve"> court terme probablement lié au contexte suracheté des prix. En effet, l’avalement baissier visible en J-4 par une longue chandelle noire qui englobe quatre bougies, devait </w:t>
      </w:r>
      <w:r w:rsidR="001851CA">
        <w:rPr>
          <w:rFonts w:ascii="Tahoma" w:hAnsi="Tahoma" w:cs="Tahoma"/>
        </w:rPr>
        <w:t>être</w:t>
      </w:r>
      <w:r w:rsidR="00D87A78">
        <w:rPr>
          <w:rFonts w:ascii="Tahoma" w:hAnsi="Tahoma" w:cs="Tahoma"/>
        </w:rPr>
        <w:t xml:space="preserve"> un signal de retournement </w:t>
      </w:r>
      <w:r w:rsidR="00264E41">
        <w:rPr>
          <w:rFonts w:ascii="Tahoma" w:hAnsi="Tahoma" w:cs="Tahoma"/>
        </w:rPr>
        <w:t>favorable à une correction des prix.</w:t>
      </w:r>
    </w:p>
    <w:p w14:paraId="0B7D89AD" w14:textId="3C287FC4" w:rsidR="00264E41" w:rsidRDefault="003D3E81" w:rsidP="00263ED0">
      <w:pPr>
        <w:jc w:val="both"/>
        <w:rPr>
          <w:rFonts w:ascii="Tahoma" w:hAnsi="Tahoma" w:cs="Tahoma"/>
        </w:rPr>
      </w:pPr>
      <w:r>
        <w:rPr>
          <w:rFonts w:ascii="Tahoma" w:hAnsi="Tahoma" w:cs="Tahoma"/>
        </w:rPr>
        <w:t xml:space="preserve">Mais le rebond du marché après bas sur 4671 montre que les vendeurs </w:t>
      </w:r>
      <w:r w:rsidR="00685098">
        <w:rPr>
          <w:rFonts w:ascii="Tahoma" w:hAnsi="Tahoma" w:cs="Tahoma"/>
        </w:rPr>
        <w:t>n’ont pas réussi</w:t>
      </w:r>
      <w:r>
        <w:rPr>
          <w:rFonts w:ascii="Tahoma" w:hAnsi="Tahoma" w:cs="Tahoma"/>
        </w:rPr>
        <w:t xml:space="preserve"> à prendre le dessus.</w:t>
      </w:r>
      <w:r w:rsidR="003056D4">
        <w:rPr>
          <w:rFonts w:ascii="Tahoma" w:hAnsi="Tahoma" w:cs="Tahoma"/>
        </w:rPr>
        <w:t xml:space="preserve"> Face aux ventes de protection en J-4, les acheteurs étaient en attente</w:t>
      </w:r>
      <w:r w:rsidR="001A2285">
        <w:rPr>
          <w:rFonts w:ascii="Tahoma" w:hAnsi="Tahoma" w:cs="Tahoma"/>
        </w:rPr>
        <w:t>, prêt à intervenir.</w:t>
      </w:r>
    </w:p>
    <w:p w14:paraId="49791384" w14:textId="054B4359" w:rsidR="00CB6556" w:rsidRDefault="001A2285" w:rsidP="00263ED0">
      <w:pPr>
        <w:jc w:val="both"/>
        <w:rPr>
          <w:rFonts w:ascii="Tahoma" w:hAnsi="Tahoma" w:cs="Tahoma"/>
        </w:rPr>
      </w:pPr>
      <w:r>
        <w:rPr>
          <w:rFonts w:ascii="Tahoma" w:hAnsi="Tahoma" w:cs="Tahoma"/>
        </w:rPr>
        <w:t xml:space="preserve">La dernière bougie de la semaine reprend les caractéristiques de l’étoile filante. Cette chandelle se classe dans les alertes </w:t>
      </w:r>
      <w:r w:rsidR="00CC3571">
        <w:rPr>
          <w:rFonts w:ascii="Tahoma" w:hAnsi="Tahoma" w:cs="Tahoma"/>
        </w:rPr>
        <w:t xml:space="preserve">et montre que la poursuite de la hausse </w:t>
      </w:r>
      <w:r w:rsidR="001851CA">
        <w:rPr>
          <w:rFonts w:ascii="Tahoma" w:hAnsi="Tahoma" w:cs="Tahoma"/>
        </w:rPr>
        <w:t>au-delà</w:t>
      </w:r>
      <w:r w:rsidR="00CC3571">
        <w:rPr>
          <w:rFonts w:ascii="Tahoma" w:hAnsi="Tahoma" w:cs="Tahoma"/>
        </w:rPr>
        <w:t xml:space="preserve"> de 4782 n’a pas fait l’unanimité. </w:t>
      </w:r>
      <w:r w:rsidR="00F902F6">
        <w:rPr>
          <w:rFonts w:ascii="Tahoma" w:hAnsi="Tahoma" w:cs="Tahoma"/>
        </w:rPr>
        <w:t>Après l’avalement en J-4, cette nouvelle alerte devrait augmenter l’</w:t>
      </w:r>
      <w:r w:rsidR="001851CA">
        <w:rPr>
          <w:rFonts w:ascii="Tahoma" w:hAnsi="Tahoma" w:cs="Tahoma"/>
        </w:rPr>
        <w:t>inquiétude</w:t>
      </w:r>
      <w:r w:rsidR="00F902F6">
        <w:rPr>
          <w:rFonts w:ascii="Tahoma" w:hAnsi="Tahoma" w:cs="Tahoma"/>
        </w:rPr>
        <w:t xml:space="preserve"> des acheteurs </w:t>
      </w:r>
      <w:r w:rsidR="00CB6556">
        <w:rPr>
          <w:rFonts w:ascii="Tahoma" w:hAnsi="Tahoma" w:cs="Tahoma"/>
        </w:rPr>
        <w:t xml:space="preserve">et les inciter à </w:t>
      </w:r>
      <w:r w:rsidR="001851CA">
        <w:rPr>
          <w:rFonts w:ascii="Tahoma" w:hAnsi="Tahoma" w:cs="Tahoma"/>
        </w:rPr>
        <w:t>protéger</w:t>
      </w:r>
      <w:r w:rsidR="00CB6556">
        <w:rPr>
          <w:rFonts w:ascii="Tahoma" w:hAnsi="Tahoma" w:cs="Tahoma"/>
        </w:rPr>
        <w:t xml:space="preserve"> leurs gains en cassure de 4750. Dans ce contexte, un retour sur 4671 sera plus que probable. Ce sera sur ce point que se jouera la poursuite de la correction ou une nouvelle intervention des acheteurs.</w:t>
      </w:r>
    </w:p>
    <w:p w14:paraId="10BB9766" w14:textId="77777777" w:rsidR="00723F77" w:rsidRDefault="00723F77" w:rsidP="00041E45">
      <w:pPr>
        <w:jc w:val="both"/>
        <w:rPr>
          <w:rFonts w:ascii="Tahoma" w:hAnsi="Tahoma" w:cs="Tahoma"/>
        </w:rPr>
      </w:pPr>
    </w:p>
    <w:p w14:paraId="655E9AC0" w14:textId="7C7F676C"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E46978">
        <w:rPr>
          <w:rFonts w:ascii="Tahoma" w:hAnsi="Tahoma" w:cs="Tahoma"/>
        </w:rPr>
        <w:t xml:space="preserve"> Indice suracheté qui doit corriger pour envisager une poursuite de la hausse. Cette correction passera dans un premier temps par la rupture de 4750 avec pour cible 4671.</w:t>
      </w:r>
    </w:p>
    <w:p w14:paraId="7ECBFD62" w14:textId="381E9F64" w:rsidR="00723F77" w:rsidRDefault="00723F77" w:rsidP="00041E45">
      <w:pPr>
        <w:jc w:val="both"/>
        <w:rPr>
          <w:rFonts w:ascii="Tahoma" w:hAnsi="Tahoma" w:cs="Tahoma"/>
        </w:rPr>
      </w:pPr>
    </w:p>
    <w:p w14:paraId="209DA158" w14:textId="77777777" w:rsidR="00685098" w:rsidRDefault="00685098"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1314"/>
    <w:rsid w:val="00134AFA"/>
    <w:rsid w:val="00136515"/>
    <w:rsid w:val="00137DC4"/>
    <w:rsid w:val="0014687D"/>
    <w:rsid w:val="0015581D"/>
    <w:rsid w:val="00163C46"/>
    <w:rsid w:val="001705F4"/>
    <w:rsid w:val="001851CA"/>
    <w:rsid w:val="00190995"/>
    <w:rsid w:val="001A2285"/>
    <w:rsid w:val="001D474B"/>
    <w:rsid w:val="001F650A"/>
    <w:rsid w:val="002003AD"/>
    <w:rsid w:val="002421FE"/>
    <w:rsid w:val="00262E25"/>
    <w:rsid w:val="00263ED0"/>
    <w:rsid w:val="00264E41"/>
    <w:rsid w:val="002A1F8E"/>
    <w:rsid w:val="002B5CB1"/>
    <w:rsid w:val="002C0A31"/>
    <w:rsid w:val="002F54B0"/>
    <w:rsid w:val="003056D4"/>
    <w:rsid w:val="0030643B"/>
    <w:rsid w:val="00337611"/>
    <w:rsid w:val="00340FD9"/>
    <w:rsid w:val="00352DD9"/>
    <w:rsid w:val="003C2E49"/>
    <w:rsid w:val="003D3E81"/>
    <w:rsid w:val="0040171B"/>
    <w:rsid w:val="00467005"/>
    <w:rsid w:val="004A5154"/>
    <w:rsid w:val="00531928"/>
    <w:rsid w:val="005440A4"/>
    <w:rsid w:val="00546A5A"/>
    <w:rsid w:val="00566580"/>
    <w:rsid w:val="00567AF3"/>
    <w:rsid w:val="00583BC8"/>
    <w:rsid w:val="00654380"/>
    <w:rsid w:val="00685098"/>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70DF0"/>
    <w:rsid w:val="00BB0E32"/>
    <w:rsid w:val="00BB6D9D"/>
    <w:rsid w:val="00BC77A5"/>
    <w:rsid w:val="00BD3FC1"/>
    <w:rsid w:val="00C17ED7"/>
    <w:rsid w:val="00C41F15"/>
    <w:rsid w:val="00C70171"/>
    <w:rsid w:val="00C70A68"/>
    <w:rsid w:val="00C82E98"/>
    <w:rsid w:val="00C903FE"/>
    <w:rsid w:val="00CB6556"/>
    <w:rsid w:val="00CC3571"/>
    <w:rsid w:val="00CC7C21"/>
    <w:rsid w:val="00CE0886"/>
    <w:rsid w:val="00CF2516"/>
    <w:rsid w:val="00CF6D63"/>
    <w:rsid w:val="00D23B28"/>
    <w:rsid w:val="00D46C8D"/>
    <w:rsid w:val="00D87A78"/>
    <w:rsid w:val="00DE5444"/>
    <w:rsid w:val="00DF072F"/>
    <w:rsid w:val="00E32014"/>
    <w:rsid w:val="00E46978"/>
    <w:rsid w:val="00EB58BA"/>
    <w:rsid w:val="00EB7452"/>
    <w:rsid w:val="00F04A6E"/>
    <w:rsid w:val="00F04DEF"/>
    <w:rsid w:val="00F31070"/>
    <w:rsid w:val="00F53F10"/>
    <w:rsid w:val="00F636F8"/>
    <w:rsid w:val="00F902F6"/>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3</Pages>
  <Words>404</Words>
  <Characters>2222</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96</cp:revision>
  <dcterms:created xsi:type="dcterms:W3CDTF">2021-11-25T09:44:00Z</dcterms:created>
  <dcterms:modified xsi:type="dcterms:W3CDTF">2024-02-18T16:13:00Z</dcterms:modified>
</cp:coreProperties>
</file>