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5BA1647" w:rsidR="00902D2F" w:rsidRDefault="00C63C41" w:rsidP="00B41C02">
      <w:pPr>
        <w:jc w:val="both"/>
        <w:rPr>
          <w:rFonts w:ascii="Tahoma" w:hAnsi="Tahoma" w:cs="Tahoma"/>
        </w:rPr>
      </w:pPr>
      <w:r>
        <w:rPr>
          <w:noProof/>
        </w:rPr>
        <w:drawing>
          <wp:inline distT="0" distB="0" distL="0" distR="0" wp14:anchorId="7C3DAA53" wp14:editId="7F9AD617">
            <wp:extent cx="5760720" cy="4320540"/>
            <wp:effectExtent l="0" t="0" r="0" b="3810"/>
            <wp:docPr id="6028594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25234041" w14:textId="04E19136" w:rsidR="00AB37D0"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FB7C99">
        <w:rPr>
          <w:rFonts w:ascii="Tahoma" w:hAnsi="Tahoma" w:cs="Tahoma"/>
        </w:rPr>
        <w:t xml:space="preserve">es prix sont revenus cette semaine sur le support de moyen et de long terme de 132.98, respectivement plat de KS et plat de TS. Malgré un plus bas à 132.71, la </w:t>
      </w:r>
      <w:r w:rsidR="007103FC">
        <w:rPr>
          <w:rFonts w:ascii="Tahoma" w:hAnsi="Tahoma" w:cs="Tahoma"/>
        </w:rPr>
        <w:t>clôture</w:t>
      </w:r>
      <w:r w:rsidR="00FB7C99">
        <w:rPr>
          <w:rFonts w:ascii="Tahoma" w:hAnsi="Tahoma" w:cs="Tahoma"/>
        </w:rPr>
        <w:t xml:space="preserve"> ne valide pas la cassure d</w:t>
      </w:r>
      <w:r w:rsidR="00900FB3">
        <w:rPr>
          <w:rFonts w:ascii="Tahoma" w:hAnsi="Tahoma" w:cs="Tahoma"/>
        </w:rPr>
        <w:t>e ce</w:t>
      </w:r>
      <w:r w:rsidR="00FB7C99">
        <w:rPr>
          <w:rFonts w:ascii="Tahoma" w:hAnsi="Tahoma" w:cs="Tahoma"/>
        </w:rPr>
        <w:t xml:space="preserve"> support</w:t>
      </w:r>
      <w:r w:rsidR="00900FB3">
        <w:rPr>
          <w:rFonts w:ascii="Tahoma" w:hAnsi="Tahoma" w:cs="Tahoma"/>
        </w:rPr>
        <w:t xml:space="preserve">. Elle </w:t>
      </w:r>
      <w:r w:rsidR="00FB7C99">
        <w:rPr>
          <w:rFonts w:ascii="Tahoma" w:hAnsi="Tahoma" w:cs="Tahoma"/>
        </w:rPr>
        <w:t>permet de garder ce plat comme potentiel obstacle à une poursuite de la baisse du contrat.</w:t>
      </w:r>
    </w:p>
    <w:p w14:paraId="230D75D5" w14:textId="55BA32C7" w:rsidR="005355FA" w:rsidRDefault="00AB37D0" w:rsidP="00B41C02">
      <w:pPr>
        <w:jc w:val="both"/>
        <w:rPr>
          <w:rFonts w:ascii="Tahoma" w:hAnsi="Tahoma" w:cs="Tahoma"/>
        </w:rPr>
      </w:pPr>
      <w:r>
        <w:rPr>
          <w:rFonts w:ascii="Tahoma" w:hAnsi="Tahoma" w:cs="Tahoma"/>
        </w:rPr>
        <w:t xml:space="preserve"> La dernière chandelle nous indique qu’un maintien des prix sous 134.18 signifiera que les baissiers restent </w:t>
      </w:r>
      <w:r w:rsidR="007103FC">
        <w:rPr>
          <w:rFonts w:ascii="Tahoma" w:hAnsi="Tahoma" w:cs="Tahoma"/>
        </w:rPr>
        <w:t>dominants</w:t>
      </w:r>
      <w:r w:rsidR="00900FB3">
        <w:rPr>
          <w:rFonts w:ascii="Tahoma" w:hAnsi="Tahoma" w:cs="Tahoma"/>
        </w:rPr>
        <w:t xml:space="preserve"> dans les échanges</w:t>
      </w:r>
      <w:r>
        <w:rPr>
          <w:rFonts w:ascii="Tahoma" w:hAnsi="Tahoma" w:cs="Tahoma"/>
        </w:rPr>
        <w:t>. L</w:t>
      </w:r>
      <w:r>
        <w:rPr>
          <w:rFonts w:ascii="Tahoma" w:hAnsi="Tahoma" w:cs="Tahoma"/>
        </w:rPr>
        <w:t>es cours sont revenus sous le nuage qui a fait obstacle au rebond issu du point bas de 127.12</w:t>
      </w:r>
      <w:r>
        <w:rPr>
          <w:rFonts w:ascii="Tahoma" w:hAnsi="Tahoma" w:cs="Tahoma"/>
        </w:rPr>
        <w:t xml:space="preserve"> et cette dynamique négative renforce </w:t>
      </w:r>
      <w:r w:rsidR="00915C42">
        <w:rPr>
          <w:rFonts w:ascii="Tahoma" w:hAnsi="Tahoma" w:cs="Tahoma"/>
        </w:rPr>
        <w:t>le potentiel baissier des prix.</w:t>
      </w:r>
    </w:p>
    <w:p w14:paraId="0D6B5E1B" w14:textId="3C1F58B4" w:rsidR="00574F9C" w:rsidRDefault="00900FB3" w:rsidP="00B41C02">
      <w:pPr>
        <w:jc w:val="both"/>
        <w:rPr>
          <w:rFonts w:ascii="Tahoma" w:hAnsi="Tahoma" w:cs="Tahoma"/>
        </w:rPr>
      </w:pPr>
      <w:r>
        <w:rPr>
          <w:rFonts w:ascii="Tahoma" w:hAnsi="Tahoma" w:cs="Tahoma"/>
        </w:rPr>
        <w:t>Dans ce contexte</w:t>
      </w:r>
      <w:r w:rsidR="00574F9C">
        <w:rPr>
          <w:rFonts w:ascii="Tahoma" w:hAnsi="Tahoma" w:cs="Tahoma"/>
        </w:rPr>
        <w:t xml:space="preserve">, le plat de 132.98 restera un obstacle difficile à passer. Même s’il a été testé au cours de la semaine dernière, ce support n’a pas encore été invalidé par une </w:t>
      </w:r>
      <w:r w:rsidR="007103FC">
        <w:rPr>
          <w:rFonts w:ascii="Tahoma" w:hAnsi="Tahoma" w:cs="Tahoma"/>
        </w:rPr>
        <w:t>clôture</w:t>
      </w:r>
      <w:r w:rsidR="00574F9C">
        <w:rPr>
          <w:rFonts w:ascii="Tahoma" w:hAnsi="Tahoma" w:cs="Tahoma"/>
        </w:rPr>
        <w:t>.</w:t>
      </w:r>
    </w:p>
    <w:p w14:paraId="374D1F17" w14:textId="064DAFA4" w:rsidR="00583BC8" w:rsidRDefault="00900FB3" w:rsidP="00B41C02">
      <w:pPr>
        <w:jc w:val="both"/>
        <w:rPr>
          <w:rFonts w:ascii="Tahoma" w:hAnsi="Tahoma" w:cs="Tahoma"/>
        </w:rPr>
      </w:pPr>
      <w:r>
        <w:rPr>
          <w:rFonts w:ascii="Tahoma" w:hAnsi="Tahoma" w:cs="Tahoma"/>
        </w:rPr>
        <w:t>Quoi qu’il en soit</w:t>
      </w:r>
      <w:r w:rsidR="00AA6BE2">
        <w:rPr>
          <w:rFonts w:ascii="Tahoma" w:hAnsi="Tahoma" w:cs="Tahoma"/>
        </w:rPr>
        <w:t xml:space="preserve">, le twist du nuage futur </w:t>
      </w:r>
      <w:r w:rsidR="007A5604">
        <w:rPr>
          <w:rFonts w:ascii="Tahoma" w:hAnsi="Tahoma" w:cs="Tahoma"/>
        </w:rPr>
        <w:t xml:space="preserve">a </w:t>
      </w:r>
      <w:r w:rsidR="00AA6BE2">
        <w:rPr>
          <w:rFonts w:ascii="Tahoma" w:hAnsi="Tahoma" w:cs="Tahoma"/>
        </w:rPr>
        <w:t>signifi</w:t>
      </w:r>
      <w:r w:rsidR="007A5604">
        <w:rPr>
          <w:rFonts w:ascii="Tahoma" w:hAnsi="Tahoma" w:cs="Tahoma"/>
        </w:rPr>
        <w:t>é</w:t>
      </w:r>
      <w:r w:rsidR="00AA6BE2">
        <w:rPr>
          <w:rFonts w:ascii="Tahoma" w:hAnsi="Tahoma" w:cs="Tahoma"/>
        </w:rPr>
        <w:t xml:space="preserve"> la fin de la tendance </w:t>
      </w:r>
      <w:r w:rsidR="007103FC">
        <w:rPr>
          <w:rFonts w:ascii="Tahoma" w:hAnsi="Tahoma" w:cs="Tahoma"/>
        </w:rPr>
        <w:t>baissière</w:t>
      </w:r>
      <w:r w:rsidR="00AA6BE2">
        <w:rPr>
          <w:rFonts w:ascii="Tahoma" w:hAnsi="Tahoma" w:cs="Tahoma"/>
        </w:rPr>
        <w:t>. Si le support de 132.98</w:t>
      </w:r>
      <w:r w:rsidR="007A5604">
        <w:rPr>
          <w:rFonts w:ascii="Tahoma" w:hAnsi="Tahoma" w:cs="Tahoma"/>
        </w:rPr>
        <w:t xml:space="preserve"> est cassé</w:t>
      </w:r>
      <w:r w:rsidR="00AA6BE2">
        <w:rPr>
          <w:rFonts w:ascii="Tahoma" w:hAnsi="Tahoma" w:cs="Tahoma"/>
        </w:rPr>
        <w:t>, la consolidation des prix sera privilégiée dans un premier temps.</w:t>
      </w:r>
    </w:p>
    <w:p w14:paraId="6515B26D" w14:textId="77777777" w:rsidR="00900FB3" w:rsidRDefault="00900FB3"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C418C85" w:rsidR="00583BC8" w:rsidRDefault="00C63C41" w:rsidP="00B41C02">
      <w:pPr>
        <w:jc w:val="both"/>
        <w:rPr>
          <w:rFonts w:ascii="Tahoma" w:hAnsi="Tahoma" w:cs="Tahoma"/>
        </w:rPr>
      </w:pPr>
      <w:r>
        <w:rPr>
          <w:noProof/>
        </w:rPr>
        <w:lastRenderedPageBreak/>
        <w:drawing>
          <wp:inline distT="0" distB="0" distL="0" distR="0" wp14:anchorId="602DEDC2" wp14:editId="45338157">
            <wp:extent cx="5760720" cy="4320540"/>
            <wp:effectExtent l="0" t="0" r="0" b="3810"/>
            <wp:docPr id="76366489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67927375" w:rsidR="00467005" w:rsidRDefault="0099060E" w:rsidP="00041E45">
      <w:pPr>
        <w:jc w:val="both"/>
        <w:rPr>
          <w:rFonts w:ascii="Tahoma" w:hAnsi="Tahoma" w:cs="Tahoma"/>
        </w:rPr>
      </w:pPr>
      <w:r>
        <w:rPr>
          <w:rFonts w:ascii="Tahoma" w:hAnsi="Tahoma" w:cs="Tahoma"/>
        </w:rPr>
        <w:t xml:space="preserve">L’avalement haussier en J-3 était là aussi un </w:t>
      </w:r>
      <w:r w:rsidR="007103FC">
        <w:rPr>
          <w:rFonts w:ascii="Tahoma" w:hAnsi="Tahoma" w:cs="Tahoma"/>
        </w:rPr>
        <w:t>piège</w:t>
      </w:r>
      <w:r>
        <w:rPr>
          <w:rFonts w:ascii="Tahoma" w:hAnsi="Tahoma" w:cs="Tahoma"/>
        </w:rPr>
        <w:t xml:space="preserve"> (voir commentaire </w:t>
      </w:r>
      <w:r w:rsidR="000558CA">
        <w:rPr>
          <w:rFonts w:ascii="Tahoma" w:hAnsi="Tahoma" w:cs="Tahoma"/>
        </w:rPr>
        <w:t>Eurostoxx 50 Daily). En effet, le rebond des prix au cours de la séance de vendredi sur le support de moyen terme de 132.98 ne laissait pas de doute sur une pours</w:t>
      </w:r>
      <w:r w:rsidR="00AA6BE2">
        <w:rPr>
          <w:rFonts w:ascii="Tahoma" w:hAnsi="Tahoma" w:cs="Tahoma"/>
        </w:rPr>
        <w:t>uite de la hausse du contrat. Mais la séance de vendredi sans mèche haute</w:t>
      </w:r>
      <w:r w:rsidR="0074600F">
        <w:rPr>
          <w:rFonts w:ascii="Tahoma" w:hAnsi="Tahoma" w:cs="Tahoma"/>
        </w:rPr>
        <w:t>,</w:t>
      </w:r>
      <w:r w:rsidR="00AA6BE2">
        <w:rPr>
          <w:rFonts w:ascii="Tahoma" w:hAnsi="Tahoma" w:cs="Tahoma"/>
        </w:rPr>
        <w:t xml:space="preserve"> montre que les baissiers continuent d’être actifs. </w:t>
      </w:r>
    </w:p>
    <w:p w14:paraId="33960E18" w14:textId="7D962F86" w:rsidR="00AA6BE2" w:rsidRDefault="00AA6BE2" w:rsidP="00041E45">
      <w:pPr>
        <w:jc w:val="both"/>
        <w:rPr>
          <w:rFonts w:ascii="Tahoma" w:hAnsi="Tahoma" w:cs="Tahoma"/>
        </w:rPr>
      </w:pPr>
      <w:r>
        <w:rPr>
          <w:rFonts w:ascii="Tahoma" w:hAnsi="Tahoma" w:cs="Tahoma"/>
        </w:rPr>
        <w:t xml:space="preserve">Une zone support s’est formée par les bas des derniers chandeliers. On peut </w:t>
      </w:r>
      <w:r w:rsidR="0074600F">
        <w:rPr>
          <w:rFonts w:ascii="Tahoma" w:hAnsi="Tahoma" w:cs="Tahoma"/>
        </w:rPr>
        <w:t>alors</w:t>
      </w:r>
      <w:r w:rsidR="00304181">
        <w:rPr>
          <w:rFonts w:ascii="Tahoma" w:hAnsi="Tahoma" w:cs="Tahoma"/>
        </w:rPr>
        <w:t xml:space="preserve"> prendre comme niveaux 132.98-132.71, zone sous laquelle une baisse limitée devrait ramener les prix sur </w:t>
      </w:r>
      <w:r w:rsidR="00FA27E0">
        <w:rPr>
          <w:rFonts w:ascii="Tahoma" w:hAnsi="Tahoma" w:cs="Tahoma"/>
        </w:rPr>
        <w:t>131.46, plat de SSB qui servira de support à la LS.</w:t>
      </w:r>
    </w:p>
    <w:p w14:paraId="10BB9766" w14:textId="77777777" w:rsidR="00723F77" w:rsidRDefault="00723F77" w:rsidP="00041E45">
      <w:pPr>
        <w:jc w:val="both"/>
        <w:rPr>
          <w:rFonts w:ascii="Tahoma" w:hAnsi="Tahoma" w:cs="Tahoma"/>
        </w:rPr>
      </w:pPr>
    </w:p>
    <w:p w14:paraId="258EB8FF" w14:textId="444D1E7C"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FA27E0">
        <w:rPr>
          <w:rFonts w:ascii="Tahoma" w:hAnsi="Tahoma" w:cs="Tahoma"/>
        </w:rPr>
        <w:t xml:space="preserve"> Domination des vendeurs qui devront s’affranchir de la zone </w:t>
      </w:r>
      <w:r w:rsidR="00B02485">
        <w:rPr>
          <w:rFonts w:ascii="Tahoma" w:hAnsi="Tahoma" w:cs="Tahoma"/>
        </w:rPr>
        <w:t xml:space="preserve">support </w:t>
      </w:r>
      <w:r w:rsidR="00FA27E0">
        <w:rPr>
          <w:rFonts w:ascii="Tahoma" w:hAnsi="Tahoma" w:cs="Tahoma"/>
        </w:rPr>
        <w:t>de 132.98</w:t>
      </w:r>
      <w:r w:rsidR="003945E5">
        <w:rPr>
          <w:rFonts w:ascii="Tahoma" w:hAnsi="Tahoma" w:cs="Tahoma"/>
        </w:rPr>
        <w:t xml:space="preserve"> </w:t>
      </w:r>
      <w:r w:rsidR="00FA27E0">
        <w:rPr>
          <w:rFonts w:ascii="Tahoma" w:hAnsi="Tahoma" w:cs="Tahoma"/>
        </w:rPr>
        <w:t xml:space="preserve">pour envisager un mouvement </w:t>
      </w:r>
      <w:r w:rsidR="00B02485">
        <w:rPr>
          <w:rFonts w:ascii="Tahoma" w:hAnsi="Tahoma" w:cs="Tahoma"/>
        </w:rPr>
        <w:t xml:space="preserve">plus étendu. </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lastRenderedPageBreak/>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558CA"/>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4181"/>
    <w:rsid w:val="0030643B"/>
    <w:rsid w:val="00337611"/>
    <w:rsid w:val="00340FD9"/>
    <w:rsid w:val="00352DD9"/>
    <w:rsid w:val="003767E0"/>
    <w:rsid w:val="003945E5"/>
    <w:rsid w:val="00397D3D"/>
    <w:rsid w:val="0040171B"/>
    <w:rsid w:val="00467005"/>
    <w:rsid w:val="004A2D2D"/>
    <w:rsid w:val="004A5154"/>
    <w:rsid w:val="004F48EE"/>
    <w:rsid w:val="00531928"/>
    <w:rsid w:val="005355FA"/>
    <w:rsid w:val="005440A4"/>
    <w:rsid w:val="00546A5A"/>
    <w:rsid w:val="00566580"/>
    <w:rsid w:val="00567AF3"/>
    <w:rsid w:val="00574F9C"/>
    <w:rsid w:val="00583BC8"/>
    <w:rsid w:val="00654380"/>
    <w:rsid w:val="00664BE1"/>
    <w:rsid w:val="006B055C"/>
    <w:rsid w:val="006E32BB"/>
    <w:rsid w:val="006E38E0"/>
    <w:rsid w:val="007103FC"/>
    <w:rsid w:val="00710599"/>
    <w:rsid w:val="00723F77"/>
    <w:rsid w:val="00744696"/>
    <w:rsid w:val="0074600F"/>
    <w:rsid w:val="00772067"/>
    <w:rsid w:val="0077545D"/>
    <w:rsid w:val="007A0A4B"/>
    <w:rsid w:val="007A0E6C"/>
    <w:rsid w:val="007A5604"/>
    <w:rsid w:val="007B1237"/>
    <w:rsid w:val="007B661D"/>
    <w:rsid w:val="007D19FF"/>
    <w:rsid w:val="007D2085"/>
    <w:rsid w:val="007D4181"/>
    <w:rsid w:val="0083454A"/>
    <w:rsid w:val="00837B38"/>
    <w:rsid w:val="00896554"/>
    <w:rsid w:val="008A7407"/>
    <w:rsid w:val="008F10C2"/>
    <w:rsid w:val="00900FB3"/>
    <w:rsid w:val="00902D2F"/>
    <w:rsid w:val="00915C42"/>
    <w:rsid w:val="00961FDF"/>
    <w:rsid w:val="00983B7D"/>
    <w:rsid w:val="0099060E"/>
    <w:rsid w:val="009A37C2"/>
    <w:rsid w:val="009F3AB8"/>
    <w:rsid w:val="00A11606"/>
    <w:rsid w:val="00A6401C"/>
    <w:rsid w:val="00A81AB7"/>
    <w:rsid w:val="00AA522C"/>
    <w:rsid w:val="00AA6BE2"/>
    <w:rsid w:val="00AB37D0"/>
    <w:rsid w:val="00AE7F3B"/>
    <w:rsid w:val="00B02485"/>
    <w:rsid w:val="00B34260"/>
    <w:rsid w:val="00B41C02"/>
    <w:rsid w:val="00B4335A"/>
    <w:rsid w:val="00B50E38"/>
    <w:rsid w:val="00B554B8"/>
    <w:rsid w:val="00B64EE0"/>
    <w:rsid w:val="00B94D71"/>
    <w:rsid w:val="00BB0E32"/>
    <w:rsid w:val="00BB6D9D"/>
    <w:rsid w:val="00BC77A5"/>
    <w:rsid w:val="00BD3FC1"/>
    <w:rsid w:val="00C17ED7"/>
    <w:rsid w:val="00C41F15"/>
    <w:rsid w:val="00C63C41"/>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B58BA"/>
    <w:rsid w:val="00EE6B93"/>
    <w:rsid w:val="00F04A6E"/>
    <w:rsid w:val="00F04DEF"/>
    <w:rsid w:val="00F31070"/>
    <w:rsid w:val="00F53F10"/>
    <w:rsid w:val="00F636F8"/>
    <w:rsid w:val="00FA27E0"/>
    <w:rsid w:val="00FA2C8E"/>
    <w:rsid w:val="00FB7C99"/>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3</Pages>
  <Words>408</Words>
  <Characters>2247</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2024-02-18T16:07:00Z</dcterms:modified>
</cp:coreProperties>
</file>