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D53919B" w:rsidR="00902D2F" w:rsidRDefault="00AA7419" w:rsidP="00B41C02">
      <w:pPr>
        <w:jc w:val="both"/>
        <w:rPr>
          <w:rFonts w:ascii="Tahoma" w:hAnsi="Tahoma" w:cs="Tahoma"/>
        </w:rPr>
      </w:pPr>
      <w:r>
        <w:rPr>
          <w:noProof/>
        </w:rPr>
        <w:drawing>
          <wp:inline distT="0" distB="0" distL="0" distR="0" wp14:anchorId="5E1E6C31" wp14:editId="6C1D50E0">
            <wp:extent cx="5760720" cy="4320540"/>
            <wp:effectExtent l="0" t="0" r="0" b="3810"/>
            <wp:docPr id="20583400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4C89758D"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AA7419">
        <w:rPr>
          <w:rFonts w:ascii="Tahoma" w:hAnsi="Tahoma" w:cs="Tahoma"/>
        </w:rPr>
        <w:t>’absence de correction significative depuis sept semaines a placé le marché dans un environnement sur acheté. Le nombre de bougies blanches successives ainsi que l’écart trop important entre les prix et la TS nous donnent cette information.</w:t>
      </w:r>
    </w:p>
    <w:p w14:paraId="7AC4D2D2" w14:textId="2ACD0ECE" w:rsidR="00DF072F" w:rsidRDefault="00AA7419" w:rsidP="00B41C02">
      <w:pPr>
        <w:jc w:val="both"/>
        <w:rPr>
          <w:rFonts w:ascii="Tahoma" w:hAnsi="Tahoma" w:cs="Tahoma"/>
        </w:rPr>
      </w:pPr>
      <w:r>
        <w:rPr>
          <w:rFonts w:ascii="Tahoma" w:hAnsi="Tahoma" w:cs="Tahoma"/>
        </w:rPr>
        <w:t xml:space="preserve">Comme souvent, un marché suracheté peut continuer de progresser </w:t>
      </w:r>
      <w:r w:rsidR="0011014E">
        <w:rPr>
          <w:rFonts w:ascii="Tahoma" w:hAnsi="Tahoma" w:cs="Tahoma"/>
        </w:rPr>
        <w:t>et</w:t>
      </w:r>
      <w:r>
        <w:rPr>
          <w:rFonts w:ascii="Tahoma" w:hAnsi="Tahoma" w:cs="Tahoma"/>
        </w:rPr>
        <w:t xml:space="preserve"> il est difficile de prévoir son retournement. Mais un marché suracheté nous indique deux choses. La première est qu’il ne faut pas prendre position à l’achat dans ce type de </w:t>
      </w:r>
      <w:r w:rsidR="0011014E">
        <w:rPr>
          <w:rFonts w:ascii="Tahoma" w:hAnsi="Tahoma" w:cs="Tahoma"/>
        </w:rPr>
        <w:t>configuration.</w:t>
      </w:r>
      <w:r>
        <w:rPr>
          <w:rFonts w:ascii="Tahoma" w:hAnsi="Tahoma" w:cs="Tahoma"/>
        </w:rPr>
        <w:t xml:space="preserve"> La seconde nous dit qu’il est plus prudent pour les anciens acheteurs de réaliser une partie de leurs gains</w:t>
      </w:r>
      <w:r w:rsidR="00652760">
        <w:rPr>
          <w:rFonts w:ascii="Tahoma" w:hAnsi="Tahoma" w:cs="Tahoma"/>
        </w:rPr>
        <w:t>.</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28999410" w14:textId="1D86B997" w:rsidR="00583BC8" w:rsidRDefault="00AA7419" w:rsidP="00B41C02">
      <w:pPr>
        <w:jc w:val="both"/>
        <w:rPr>
          <w:rFonts w:ascii="Tahoma" w:hAnsi="Tahoma" w:cs="Tahoma"/>
        </w:rPr>
      </w:pPr>
      <w:r>
        <w:rPr>
          <w:noProof/>
        </w:rPr>
        <w:lastRenderedPageBreak/>
        <w:drawing>
          <wp:inline distT="0" distB="0" distL="0" distR="0" wp14:anchorId="33E3112B" wp14:editId="14C67BC4">
            <wp:extent cx="5760720" cy="3749040"/>
            <wp:effectExtent l="0" t="0" r="0" b="3810"/>
            <wp:docPr id="20259010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749040"/>
                    </a:xfrm>
                    <a:prstGeom prst="rect">
                      <a:avLst/>
                    </a:prstGeom>
                    <a:noFill/>
                    <a:ln>
                      <a:noFill/>
                    </a:ln>
                  </pic:spPr>
                </pic:pic>
              </a:graphicData>
            </a:graphic>
          </wp:inline>
        </w:drawing>
      </w:r>
    </w:p>
    <w:p w14:paraId="710BA38C" w14:textId="79441A2F" w:rsidR="00163C46" w:rsidRDefault="00652760" w:rsidP="00263ED0">
      <w:pPr>
        <w:jc w:val="both"/>
        <w:rPr>
          <w:rFonts w:ascii="Tahoma" w:hAnsi="Tahoma" w:cs="Tahoma"/>
        </w:rPr>
      </w:pPr>
      <w:r>
        <w:rPr>
          <w:rFonts w:ascii="Tahoma" w:hAnsi="Tahoma" w:cs="Tahoma"/>
        </w:rPr>
        <w:t xml:space="preserve">Deux choses observables sur le court terme. La première est la dernière chandelle noire, la seconde est la </w:t>
      </w:r>
      <w:r w:rsidR="00FD6625">
        <w:rPr>
          <w:rFonts w:ascii="Tahoma" w:hAnsi="Tahoma" w:cs="Tahoma"/>
        </w:rPr>
        <w:t>fenêtre</w:t>
      </w:r>
      <w:r>
        <w:rPr>
          <w:rFonts w:ascii="Tahoma" w:hAnsi="Tahoma" w:cs="Tahoma"/>
        </w:rPr>
        <w:t xml:space="preserve"> </w:t>
      </w:r>
      <w:r w:rsidR="0011014E">
        <w:rPr>
          <w:rFonts w:ascii="Tahoma" w:hAnsi="Tahoma" w:cs="Tahoma"/>
        </w:rPr>
        <w:t xml:space="preserve">(gap) </w:t>
      </w:r>
      <w:r>
        <w:rPr>
          <w:rFonts w:ascii="Tahoma" w:hAnsi="Tahoma" w:cs="Tahoma"/>
        </w:rPr>
        <w:t>ouverte entre le 21 et le 22 février</w:t>
      </w:r>
      <w:r w:rsidR="002E39F3">
        <w:rPr>
          <w:rFonts w:ascii="Tahoma" w:hAnsi="Tahoma" w:cs="Tahoma"/>
        </w:rPr>
        <w:t xml:space="preserve"> (4782-4812).</w:t>
      </w:r>
    </w:p>
    <w:p w14:paraId="686A7A8C" w14:textId="2FBB7FFE" w:rsidR="003B2873" w:rsidRDefault="00652760" w:rsidP="00263ED0">
      <w:pPr>
        <w:jc w:val="both"/>
        <w:rPr>
          <w:rFonts w:ascii="Tahoma" w:hAnsi="Tahoma" w:cs="Tahoma"/>
        </w:rPr>
      </w:pPr>
      <w:r>
        <w:rPr>
          <w:rFonts w:ascii="Tahoma" w:hAnsi="Tahoma" w:cs="Tahoma"/>
        </w:rPr>
        <w:t>Les deux dernière</w:t>
      </w:r>
      <w:r w:rsidR="0011014E">
        <w:rPr>
          <w:rFonts w:ascii="Tahoma" w:hAnsi="Tahoma" w:cs="Tahoma"/>
        </w:rPr>
        <w:t>s</w:t>
      </w:r>
      <w:r>
        <w:rPr>
          <w:rFonts w:ascii="Tahoma" w:hAnsi="Tahoma" w:cs="Tahoma"/>
        </w:rPr>
        <w:t xml:space="preserve"> chandelle</w:t>
      </w:r>
      <w:r w:rsidR="0011014E">
        <w:rPr>
          <w:rFonts w:ascii="Tahoma" w:hAnsi="Tahoma" w:cs="Tahoma"/>
        </w:rPr>
        <w:t>s</w:t>
      </w:r>
      <w:r>
        <w:rPr>
          <w:rFonts w:ascii="Tahoma" w:hAnsi="Tahoma" w:cs="Tahoma"/>
        </w:rPr>
        <w:t xml:space="preserve"> forme</w:t>
      </w:r>
      <w:r w:rsidR="0011014E">
        <w:rPr>
          <w:rFonts w:ascii="Tahoma" w:hAnsi="Tahoma" w:cs="Tahoma"/>
        </w:rPr>
        <w:t>nt</w:t>
      </w:r>
      <w:r>
        <w:rPr>
          <w:rFonts w:ascii="Tahoma" w:hAnsi="Tahoma" w:cs="Tahoma"/>
        </w:rPr>
        <w:t xml:space="preserve"> une structure d’alerte en nuage noir. Mais face à l’étendue du marubozu de jeudi (J-2), la bougie noire reste trop limitée en taille pour inquiéter les haussiers. Pour autant, l’absence de mèche basse du chandelier noir indique que les ventes ne sont pas terminées. </w:t>
      </w:r>
      <w:r w:rsidR="003B2873">
        <w:rPr>
          <w:rFonts w:ascii="Tahoma" w:hAnsi="Tahoma" w:cs="Tahoma"/>
        </w:rPr>
        <w:t xml:space="preserve">4937, point médian de la longue bougie blanche, sera le </w:t>
      </w:r>
      <w:r w:rsidR="0011014E">
        <w:rPr>
          <w:rFonts w:ascii="Tahoma" w:hAnsi="Tahoma" w:cs="Tahoma"/>
        </w:rPr>
        <w:t>niveau</w:t>
      </w:r>
      <w:r w:rsidR="003B2873">
        <w:rPr>
          <w:rFonts w:ascii="Tahoma" w:hAnsi="Tahoma" w:cs="Tahoma"/>
        </w:rPr>
        <w:t xml:space="preserve"> à ne pas franchir. Un maintien des prix </w:t>
      </w:r>
      <w:r w:rsidR="00FD6625">
        <w:rPr>
          <w:rFonts w:ascii="Tahoma" w:hAnsi="Tahoma" w:cs="Tahoma"/>
        </w:rPr>
        <w:t>au-dessus</w:t>
      </w:r>
      <w:r w:rsidR="003B2873">
        <w:rPr>
          <w:rFonts w:ascii="Tahoma" w:hAnsi="Tahoma" w:cs="Tahoma"/>
        </w:rPr>
        <w:t xml:space="preserve"> de ce point signifiera que les haussiers dominent toujours le marché et que les baisses </w:t>
      </w:r>
      <w:r w:rsidR="0011014E">
        <w:rPr>
          <w:rFonts w:ascii="Tahoma" w:hAnsi="Tahoma" w:cs="Tahoma"/>
        </w:rPr>
        <w:t xml:space="preserve">de prix </w:t>
      </w:r>
      <w:r w:rsidR="003B2873">
        <w:rPr>
          <w:rFonts w:ascii="Tahoma" w:hAnsi="Tahoma" w:cs="Tahoma"/>
        </w:rPr>
        <w:t xml:space="preserve">restent à </w:t>
      </w:r>
      <w:r w:rsidR="00FD6625">
        <w:rPr>
          <w:rFonts w:ascii="Tahoma" w:hAnsi="Tahoma" w:cs="Tahoma"/>
        </w:rPr>
        <w:t>leurs yeux</w:t>
      </w:r>
      <w:r w:rsidR="003B2873">
        <w:rPr>
          <w:rFonts w:ascii="Tahoma" w:hAnsi="Tahoma" w:cs="Tahoma"/>
        </w:rPr>
        <w:t xml:space="preserve"> des opportunités d’achat.</w:t>
      </w:r>
    </w:p>
    <w:p w14:paraId="10BB9766" w14:textId="1F35790E" w:rsidR="00723F77" w:rsidRDefault="003B2873" w:rsidP="00041E45">
      <w:pPr>
        <w:jc w:val="both"/>
        <w:rPr>
          <w:rFonts w:ascii="Tahoma" w:hAnsi="Tahoma" w:cs="Tahoma"/>
        </w:rPr>
      </w:pPr>
      <w:r>
        <w:rPr>
          <w:rFonts w:ascii="Tahoma" w:hAnsi="Tahoma" w:cs="Tahoma"/>
        </w:rPr>
        <w:t>En dépassement de 4937</w:t>
      </w:r>
      <w:r w:rsidR="002E39F3">
        <w:rPr>
          <w:rFonts w:ascii="Tahoma" w:hAnsi="Tahoma" w:cs="Tahoma"/>
        </w:rPr>
        <w:t xml:space="preserve"> à la baisse,</w:t>
      </w:r>
      <w:r>
        <w:rPr>
          <w:rFonts w:ascii="Tahoma" w:hAnsi="Tahoma" w:cs="Tahoma"/>
        </w:rPr>
        <w:t xml:space="preserve"> ce </w:t>
      </w:r>
      <w:r w:rsidR="0011014E">
        <w:rPr>
          <w:rFonts w:ascii="Tahoma" w:hAnsi="Tahoma" w:cs="Tahoma"/>
        </w:rPr>
        <w:t xml:space="preserve">ne </w:t>
      </w:r>
      <w:r>
        <w:rPr>
          <w:rFonts w:ascii="Tahoma" w:hAnsi="Tahoma" w:cs="Tahoma"/>
        </w:rPr>
        <w:t xml:space="preserve">sera </w:t>
      </w:r>
      <w:r w:rsidR="0011014E">
        <w:rPr>
          <w:rFonts w:ascii="Tahoma" w:hAnsi="Tahoma" w:cs="Tahoma"/>
        </w:rPr>
        <w:t xml:space="preserve">que </w:t>
      </w:r>
      <w:r>
        <w:rPr>
          <w:rFonts w:ascii="Tahoma" w:hAnsi="Tahoma" w:cs="Tahoma"/>
        </w:rPr>
        <w:t>la hausse de ces derniers jours qui sera remise en cause.</w:t>
      </w:r>
      <w:r w:rsidR="002E39F3">
        <w:rPr>
          <w:rFonts w:ascii="Tahoma" w:hAnsi="Tahoma" w:cs="Tahoma"/>
        </w:rPr>
        <w:t xml:space="preserve"> La </w:t>
      </w:r>
      <w:r w:rsidR="00FD6625">
        <w:rPr>
          <w:rFonts w:ascii="Tahoma" w:hAnsi="Tahoma" w:cs="Tahoma"/>
        </w:rPr>
        <w:t>fenêtre</w:t>
      </w:r>
      <w:r w:rsidR="002E39F3">
        <w:rPr>
          <w:rFonts w:ascii="Tahoma" w:hAnsi="Tahoma" w:cs="Tahoma"/>
        </w:rPr>
        <w:t xml:space="preserve"> ouverte le 22 février est </w:t>
      </w:r>
      <w:r w:rsidR="0011014E">
        <w:rPr>
          <w:rFonts w:ascii="Tahoma" w:hAnsi="Tahoma" w:cs="Tahoma"/>
        </w:rPr>
        <w:t xml:space="preserve">en chandelier </w:t>
      </w:r>
      <w:r w:rsidR="002E39F3">
        <w:rPr>
          <w:rFonts w:ascii="Tahoma" w:hAnsi="Tahoma" w:cs="Tahoma"/>
        </w:rPr>
        <w:t>une figure de continuation de tendance. Cela implique que le contexte haussier de court terme ne sera pas remis en question tant que</w:t>
      </w:r>
      <w:r w:rsidR="00DD5AC7">
        <w:rPr>
          <w:rFonts w:ascii="Tahoma" w:hAnsi="Tahoma" w:cs="Tahoma"/>
        </w:rPr>
        <w:t xml:space="preserve"> les prix ne </w:t>
      </w:r>
      <w:r w:rsidR="00FD6625">
        <w:rPr>
          <w:rFonts w:ascii="Tahoma" w:hAnsi="Tahoma" w:cs="Tahoma"/>
        </w:rPr>
        <w:t>clôtureront</w:t>
      </w:r>
      <w:r w:rsidR="00DD5AC7">
        <w:rPr>
          <w:rFonts w:ascii="Tahoma" w:hAnsi="Tahoma" w:cs="Tahoma"/>
        </w:rPr>
        <w:t xml:space="preserve"> pas sous</w:t>
      </w:r>
      <w:r w:rsidR="002E39F3">
        <w:rPr>
          <w:rFonts w:ascii="Tahoma" w:hAnsi="Tahoma" w:cs="Tahoma"/>
        </w:rPr>
        <w:t xml:space="preserve"> </w:t>
      </w:r>
      <w:r w:rsidR="0011014E">
        <w:rPr>
          <w:rFonts w:ascii="Tahoma" w:hAnsi="Tahoma" w:cs="Tahoma"/>
        </w:rPr>
        <w:t xml:space="preserve">son point bas de </w:t>
      </w:r>
      <w:r w:rsidR="00DD5AC7">
        <w:rPr>
          <w:rFonts w:ascii="Tahoma" w:hAnsi="Tahoma" w:cs="Tahoma"/>
        </w:rPr>
        <w:t xml:space="preserve">4782. </w:t>
      </w:r>
    </w:p>
    <w:p w14:paraId="35005F61" w14:textId="77777777" w:rsidR="001A3749" w:rsidRDefault="001A3749" w:rsidP="00041E45">
      <w:pPr>
        <w:jc w:val="both"/>
        <w:rPr>
          <w:rFonts w:ascii="Tahoma" w:hAnsi="Tahoma" w:cs="Tahoma"/>
        </w:rPr>
      </w:pPr>
    </w:p>
    <w:p w14:paraId="655E9AC0" w14:textId="55719AFC" w:rsidR="00723F77" w:rsidRDefault="00835AC6" w:rsidP="0011014E">
      <w:pPr>
        <w:spacing w:after="0"/>
        <w:jc w:val="both"/>
        <w:rPr>
          <w:rFonts w:ascii="Tahoma" w:hAnsi="Tahoma" w:cs="Tahoma"/>
        </w:rPr>
      </w:pPr>
      <w:r w:rsidRPr="00835AC6">
        <w:rPr>
          <w:rFonts w:ascii="Tahoma" w:hAnsi="Tahoma" w:cs="Tahoma"/>
          <w:u w:val="single"/>
        </w:rPr>
        <w:t>CONCLUSION</w:t>
      </w:r>
      <w:r>
        <w:rPr>
          <w:rFonts w:ascii="Tahoma" w:hAnsi="Tahoma" w:cs="Tahoma"/>
        </w:rPr>
        <w:t> :</w:t>
      </w:r>
      <w:r w:rsidR="001A3749">
        <w:rPr>
          <w:rFonts w:ascii="Tahoma" w:hAnsi="Tahoma" w:cs="Tahoma"/>
        </w:rPr>
        <w:t xml:space="preserve"> Marché suracheté depuis plusieurs semaines.</w:t>
      </w:r>
    </w:p>
    <w:p w14:paraId="59DEC414" w14:textId="4C1343BC" w:rsidR="001A3749" w:rsidRDefault="001A3749" w:rsidP="00041E45">
      <w:pPr>
        <w:jc w:val="both"/>
        <w:rPr>
          <w:rFonts w:ascii="Tahoma" w:hAnsi="Tahoma" w:cs="Tahoma"/>
        </w:rPr>
      </w:pPr>
      <w:r>
        <w:rPr>
          <w:rFonts w:ascii="Tahoma" w:hAnsi="Tahoma" w:cs="Tahoma"/>
        </w:rPr>
        <w:t xml:space="preserve">Sur le court terme, formation d’une alerte baissière qui devra être confirmée par une rupture de 4937. Quoi qu’il en soit, pas de remise en question de la hausse tant que 4782 </w:t>
      </w:r>
      <w:r w:rsidR="00EC1ABC">
        <w:rPr>
          <w:rFonts w:ascii="Tahoma" w:hAnsi="Tahoma" w:cs="Tahoma"/>
        </w:rPr>
        <w:t>ne sera</w:t>
      </w:r>
      <w:r>
        <w:rPr>
          <w:rFonts w:ascii="Tahoma" w:hAnsi="Tahoma" w:cs="Tahoma"/>
        </w:rPr>
        <w:t xml:space="preserve"> pas franchi en </w:t>
      </w:r>
      <w:r w:rsidR="00FD6625">
        <w:rPr>
          <w:rFonts w:ascii="Tahoma" w:hAnsi="Tahoma" w:cs="Tahoma"/>
        </w:rPr>
        <w:t>clôture</w:t>
      </w:r>
      <w:r>
        <w:rPr>
          <w:rFonts w:ascii="Tahoma" w:hAnsi="Tahoma" w:cs="Tahoma"/>
        </w:rPr>
        <w:t xml:space="preserve"> Daily.</w:t>
      </w:r>
    </w:p>
    <w:p w14:paraId="7ECBFD62" w14:textId="381E9F64" w:rsidR="00723F77" w:rsidRDefault="00723F77" w:rsidP="00041E45">
      <w:pPr>
        <w:jc w:val="both"/>
        <w:rPr>
          <w:rFonts w:ascii="Tahoma" w:hAnsi="Tahoma" w:cs="Tahoma"/>
        </w:rPr>
      </w:pPr>
    </w:p>
    <w:p w14:paraId="62BD684C" w14:textId="77777777" w:rsidR="001A3749" w:rsidRDefault="001A3749"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1014E"/>
    <w:rsid w:val="00134AFA"/>
    <w:rsid w:val="0014687D"/>
    <w:rsid w:val="0015581D"/>
    <w:rsid w:val="00163C46"/>
    <w:rsid w:val="001705F4"/>
    <w:rsid w:val="00190995"/>
    <w:rsid w:val="001A3749"/>
    <w:rsid w:val="001D474B"/>
    <w:rsid w:val="001F650A"/>
    <w:rsid w:val="002003AD"/>
    <w:rsid w:val="002421FE"/>
    <w:rsid w:val="00262E25"/>
    <w:rsid w:val="00263ED0"/>
    <w:rsid w:val="002A1F8E"/>
    <w:rsid w:val="002B5CB1"/>
    <w:rsid w:val="002C0A31"/>
    <w:rsid w:val="002E39F3"/>
    <w:rsid w:val="002F54B0"/>
    <w:rsid w:val="0030643B"/>
    <w:rsid w:val="00337611"/>
    <w:rsid w:val="00340FD9"/>
    <w:rsid w:val="00352DD9"/>
    <w:rsid w:val="003B2873"/>
    <w:rsid w:val="003C2E49"/>
    <w:rsid w:val="0040171B"/>
    <w:rsid w:val="00467005"/>
    <w:rsid w:val="004A5154"/>
    <w:rsid w:val="00531928"/>
    <w:rsid w:val="005440A4"/>
    <w:rsid w:val="00546A5A"/>
    <w:rsid w:val="00566580"/>
    <w:rsid w:val="00567AF3"/>
    <w:rsid w:val="00583BC8"/>
    <w:rsid w:val="00652760"/>
    <w:rsid w:val="00654380"/>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6401C"/>
    <w:rsid w:val="00A81AB7"/>
    <w:rsid w:val="00AA7419"/>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D5AC7"/>
    <w:rsid w:val="00DE5444"/>
    <w:rsid w:val="00DF072F"/>
    <w:rsid w:val="00E32014"/>
    <w:rsid w:val="00EB58BA"/>
    <w:rsid w:val="00EC1ABC"/>
    <w:rsid w:val="00F04A6E"/>
    <w:rsid w:val="00F04DEF"/>
    <w:rsid w:val="00F31070"/>
    <w:rsid w:val="00F53F10"/>
    <w:rsid w:val="00F636F8"/>
    <w:rsid w:val="00FA2C8E"/>
    <w:rsid w:val="00FC1860"/>
    <w:rsid w:val="00FC7EA5"/>
    <w:rsid w:val="00FD66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3</Pages>
  <Words>448</Words>
  <Characters>2465</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2024-03-09T15:59:00Z</dcterms:modified>
</cp:coreProperties>
</file>