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C268458" w:rsidR="00902D2F" w:rsidRDefault="00B61A1D" w:rsidP="00B41C02">
      <w:pPr>
        <w:jc w:val="both"/>
        <w:rPr>
          <w:rFonts w:ascii="Tahoma" w:hAnsi="Tahoma" w:cs="Tahoma"/>
        </w:rPr>
      </w:pPr>
      <w:r>
        <w:rPr>
          <w:noProof/>
        </w:rPr>
        <w:drawing>
          <wp:inline distT="0" distB="0" distL="0" distR="0" wp14:anchorId="76D15DB0" wp14:editId="670EF7B2">
            <wp:extent cx="5760720" cy="4320540"/>
            <wp:effectExtent l="0" t="0" r="0" b="3810"/>
            <wp:docPr id="50519679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13F0CE72"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A23B21">
        <w:rPr>
          <w:rFonts w:ascii="Tahoma" w:hAnsi="Tahoma" w:cs="Tahoma"/>
        </w:rPr>
        <w:t xml:space="preserve">’image donné par l’évolution hebdomadaire des prix ne remet pas en question la dynamique haussière </w:t>
      </w:r>
      <w:r w:rsidR="00AA2BE8">
        <w:rPr>
          <w:rFonts w:ascii="Tahoma" w:hAnsi="Tahoma" w:cs="Tahoma"/>
        </w:rPr>
        <w:t>de l’indice</w:t>
      </w:r>
      <w:r w:rsidR="00A23B21">
        <w:rPr>
          <w:rFonts w:ascii="Tahoma" w:hAnsi="Tahoma" w:cs="Tahoma"/>
        </w:rPr>
        <w:t xml:space="preserve">. En effet après avoir ouvert en baisse par rapport à la </w:t>
      </w:r>
      <w:r w:rsidR="008F108A">
        <w:rPr>
          <w:rFonts w:ascii="Tahoma" w:hAnsi="Tahoma" w:cs="Tahoma"/>
        </w:rPr>
        <w:t>clôture</w:t>
      </w:r>
      <w:r w:rsidR="00A23B21">
        <w:rPr>
          <w:rFonts w:ascii="Tahoma" w:hAnsi="Tahoma" w:cs="Tahoma"/>
        </w:rPr>
        <w:t xml:space="preserve"> précédente, les cours sont repartis à la hausse </w:t>
      </w:r>
      <w:r w:rsidR="00AA2BE8">
        <w:rPr>
          <w:rFonts w:ascii="Tahoma" w:hAnsi="Tahoma" w:cs="Tahoma"/>
        </w:rPr>
        <w:t>pour</w:t>
      </w:r>
      <w:r w:rsidR="00A23B21">
        <w:rPr>
          <w:rFonts w:ascii="Tahoma" w:hAnsi="Tahoma" w:cs="Tahoma"/>
        </w:rPr>
        <w:t xml:space="preserve"> dépass</w:t>
      </w:r>
      <w:r w:rsidR="00AA2BE8">
        <w:rPr>
          <w:rFonts w:ascii="Tahoma" w:hAnsi="Tahoma" w:cs="Tahoma"/>
        </w:rPr>
        <w:t>er</w:t>
      </w:r>
      <w:r w:rsidR="00A23B21">
        <w:rPr>
          <w:rFonts w:ascii="Tahoma" w:hAnsi="Tahoma" w:cs="Tahoma"/>
        </w:rPr>
        <w:t xml:space="preserve"> la chandelle de la semaine dernière. Cette action des prix montre la conviction des acheteurs qui n’ont pas été </w:t>
      </w:r>
      <w:r w:rsidR="008F108A">
        <w:rPr>
          <w:rFonts w:ascii="Tahoma" w:hAnsi="Tahoma" w:cs="Tahoma"/>
        </w:rPr>
        <w:t>impressionné</w:t>
      </w:r>
      <w:r w:rsidR="00AA2BE8">
        <w:rPr>
          <w:rFonts w:ascii="Tahoma" w:hAnsi="Tahoma" w:cs="Tahoma"/>
        </w:rPr>
        <w:t>s</w:t>
      </w:r>
      <w:r w:rsidR="00A23B21">
        <w:rPr>
          <w:rFonts w:ascii="Tahoma" w:hAnsi="Tahoma" w:cs="Tahoma"/>
        </w:rPr>
        <w:t xml:space="preserve"> par le recul du début de semaine</w:t>
      </w:r>
      <w:r w:rsidR="000A635E">
        <w:rPr>
          <w:rFonts w:ascii="Tahoma" w:hAnsi="Tahoma" w:cs="Tahoma"/>
        </w:rPr>
        <w:t>. Les baisses restent toujours des opportunités pour ouvrir des positions longues.</w:t>
      </w:r>
    </w:p>
    <w:p w14:paraId="1D2E3390" w14:textId="03F85065" w:rsidR="00E5653E" w:rsidRDefault="00E5653E" w:rsidP="00263ED0">
      <w:pPr>
        <w:jc w:val="both"/>
        <w:rPr>
          <w:rFonts w:ascii="Tahoma" w:hAnsi="Tahoma" w:cs="Tahoma"/>
        </w:rPr>
      </w:pPr>
      <w:r>
        <w:rPr>
          <w:rFonts w:ascii="Tahoma" w:hAnsi="Tahoma" w:cs="Tahoma"/>
        </w:rPr>
        <w:t xml:space="preserve">Malgré </w:t>
      </w:r>
      <w:r w:rsidR="00856AE3">
        <w:rPr>
          <w:rFonts w:ascii="Tahoma" w:hAnsi="Tahoma" w:cs="Tahoma"/>
        </w:rPr>
        <w:t>les nombreuses divergences baissières et le contexte suracheté des prix,</w:t>
      </w:r>
      <w:r w:rsidR="00A57894">
        <w:rPr>
          <w:rFonts w:ascii="Tahoma" w:hAnsi="Tahoma" w:cs="Tahoma"/>
        </w:rPr>
        <w:t xml:space="preserve"> un nouveau haut a été validé cette semaine.</w:t>
      </w: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3E2907D6" w:rsidR="00583BC8" w:rsidRDefault="00B61A1D" w:rsidP="00B41C02">
      <w:pPr>
        <w:jc w:val="both"/>
        <w:rPr>
          <w:rFonts w:ascii="Tahoma" w:hAnsi="Tahoma" w:cs="Tahoma"/>
        </w:rPr>
      </w:pPr>
      <w:r>
        <w:rPr>
          <w:noProof/>
        </w:rPr>
        <w:lastRenderedPageBreak/>
        <w:drawing>
          <wp:inline distT="0" distB="0" distL="0" distR="0" wp14:anchorId="6F123E37" wp14:editId="5B17AEA9">
            <wp:extent cx="5760720" cy="4320540"/>
            <wp:effectExtent l="0" t="0" r="0" b="3810"/>
            <wp:docPr id="103039928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2CAECFEA" w14:textId="77777777" w:rsidR="00A57894" w:rsidRDefault="00352DD9" w:rsidP="00AA2BE8">
      <w:pPr>
        <w:spacing w:after="0"/>
        <w:jc w:val="both"/>
        <w:rPr>
          <w:rFonts w:ascii="Tahoma" w:hAnsi="Tahoma" w:cs="Tahoma"/>
        </w:rPr>
      </w:pPr>
      <w:r>
        <w:rPr>
          <w:rFonts w:ascii="Tahoma" w:hAnsi="Tahoma" w:cs="Tahoma"/>
        </w:rPr>
        <w:t>L</w:t>
      </w:r>
      <w:r w:rsidR="00A57894">
        <w:rPr>
          <w:rFonts w:ascii="Tahoma" w:hAnsi="Tahoma" w:cs="Tahoma"/>
        </w:rPr>
        <w:t>es dernières chandelles sur cette unité de temps se classe dans les alertes baissières. Ces étoiles nous disent que la poursuite de la hausse ne fait plus l’unanimité. Pour autant rien pour l’instant ne permet de penser à un retournement des prix. Tant qu’il n’y aura pas de formations évoquant cette éventualité, il sera difficile d’envisager la baisse de l’indice.</w:t>
      </w:r>
    </w:p>
    <w:p w14:paraId="710BA38C" w14:textId="2D0702DA" w:rsidR="00163C46" w:rsidRDefault="00A57894" w:rsidP="00263ED0">
      <w:pPr>
        <w:jc w:val="both"/>
        <w:rPr>
          <w:rFonts w:ascii="Tahoma" w:hAnsi="Tahoma" w:cs="Tahoma"/>
        </w:rPr>
      </w:pPr>
      <w:r>
        <w:rPr>
          <w:rFonts w:ascii="Tahoma" w:hAnsi="Tahoma" w:cs="Tahoma"/>
        </w:rPr>
        <w:t xml:space="preserve">D’autant plus que la </w:t>
      </w:r>
      <w:r w:rsidR="008F108A">
        <w:rPr>
          <w:rFonts w:ascii="Tahoma" w:hAnsi="Tahoma" w:cs="Tahoma"/>
        </w:rPr>
        <w:t>fenêtre</w:t>
      </w:r>
      <w:r>
        <w:rPr>
          <w:rFonts w:ascii="Tahoma" w:hAnsi="Tahoma" w:cs="Tahoma"/>
        </w:rPr>
        <w:t xml:space="preserve"> ouverte entre 4782 et 4812 </w:t>
      </w:r>
      <w:r w:rsidR="009B6476">
        <w:rPr>
          <w:rFonts w:ascii="Tahoma" w:hAnsi="Tahoma" w:cs="Tahoma"/>
        </w:rPr>
        <w:t>est une figure de poursuite de tendance (en chandeliers japonais) qui</w:t>
      </w:r>
      <w:r>
        <w:rPr>
          <w:rFonts w:ascii="Tahoma" w:hAnsi="Tahoma" w:cs="Tahoma"/>
        </w:rPr>
        <w:t xml:space="preserve"> plac</w:t>
      </w:r>
      <w:r w:rsidR="009B6476">
        <w:rPr>
          <w:rFonts w:ascii="Tahoma" w:hAnsi="Tahoma" w:cs="Tahoma"/>
        </w:rPr>
        <w:t>e</w:t>
      </w:r>
      <w:r>
        <w:rPr>
          <w:rFonts w:ascii="Tahoma" w:hAnsi="Tahoma" w:cs="Tahoma"/>
        </w:rPr>
        <w:t xml:space="preserve"> le marché dans un environnement favorable à la hausse</w:t>
      </w:r>
      <w:r w:rsidR="009B6476">
        <w:rPr>
          <w:rFonts w:ascii="Tahoma" w:hAnsi="Tahoma" w:cs="Tahoma"/>
        </w:rPr>
        <w:t>.</w:t>
      </w:r>
      <w:r>
        <w:rPr>
          <w:rFonts w:ascii="Tahoma" w:hAnsi="Tahoma" w:cs="Tahoma"/>
        </w:rPr>
        <w:t xml:space="preserve"> </w:t>
      </w:r>
      <w:r w:rsidR="009B6476">
        <w:rPr>
          <w:rFonts w:ascii="Tahoma" w:hAnsi="Tahoma" w:cs="Tahoma"/>
        </w:rPr>
        <w:t>Ce</w:t>
      </w:r>
      <w:r>
        <w:rPr>
          <w:rFonts w:ascii="Tahoma" w:hAnsi="Tahoma" w:cs="Tahoma"/>
        </w:rPr>
        <w:t xml:space="preserve"> contexte ne sera remis en question qu’</w:t>
      </w:r>
      <w:r w:rsidR="008F108A">
        <w:rPr>
          <w:rFonts w:ascii="Tahoma" w:hAnsi="Tahoma" w:cs="Tahoma"/>
        </w:rPr>
        <w:t>après</w:t>
      </w:r>
      <w:r>
        <w:rPr>
          <w:rFonts w:ascii="Tahoma" w:hAnsi="Tahoma" w:cs="Tahoma"/>
        </w:rPr>
        <w:t xml:space="preserve"> une </w:t>
      </w:r>
      <w:r w:rsidR="008F108A">
        <w:rPr>
          <w:rFonts w:ascii="Tahoma" w:hAnsi="Tahoma" w:cs="Tahoma"/>
        </w:rPr>
        <w:t>clôture</w:t>
      </w:r>
      <w:r>
        <w:rPr>
          <w:rFonts w:ascii="Tahoma" w:hAnsi="Tahoma" w:cs="Tahoma"/>
        </w:rPr>
        <w:t xml:space="preserve"> sous 4782. </w:t>
      </w:r>
      <w:r w:rsidR="00352DD9">
        <w:rPr>
          <w:rFonts w:ascii="Tahoma" w:hAnsi="Tahoma" w:cs="Tahoma"/>
        </w:rPr>
        <w:t xml:space="preserve"> </w:t>
      </w:r>
    </w:p>
    <w:p w14:paraId="10BB9766" w14:textId="77777777" w:rsidR="00723F77" w:rsidRDefault="00723F77" w:rsidP="00041E45">
      <w:pPr>
        <w:jc w:val="both"/>
        <w:rPr>
          <w:rFonts w:ascii="Tahoma" w:hAnsi="Tahoma" w:cs="Tahoma"/>
        </w:rPr>
      </w:pPr>
    </w:p>
    <w:p w14:paraId="655E9AC0" w14:textId="1EC76912"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9B6476">
        <w:rPr>
          <w:rFonts w:ascii="Tahoma" w:hAnsi="Tahoma" w:cs="Tahoma"/>
        </w:rPr>
        <w:t xml:space="preserve"> Marché suracheté. Des chandelles d’alerte sur les dernières séances </w:t>
      </w:r>
      <w:r w:rsidR="00FB2AA0">
        <w:rPr>
          <w:rFonts w:ascii="Tahoma" w:hAnsi="Tahoma" w:cs="Tahoma"/>
        </w:rPr>
        <w:t>qui ne remettent pas encore en question la dynamique de hausse des prix</w:t>
      </w:r>
      <w:r w:rsidR="00CB60D7">
        <w:rPr>
          <w:rFonts w:ascii="Tahoma" w:hAnsi="Tahoma" w:cs="Tahoma"/>
        </w:rPr>
        <w:t xml:space="preserve">. Pas de retour d’un courant baissier tant que l’indice évoluera </w:t>
      </w:r>
      <w:r w:rsidR="008F108A">
        <w:rPr>
          <w:rFonts w:ascii="Tahoma" w:hAnsi="Tahoma" w:cs="Tahoma"/>
        </w:rPr>
        <w:t>au-dessus</w:t>
      </w:r>
      <w:r w:rsidR="00CB60D7">
        <w:rPr>
          <w:rFonts w:ascii="Tahoma" w:hAnsi="Tahoma" w:cs="Tahoma"/>
        </w:rPr>
        <w:t xml:space="preserve"> de 4782.</w:t>
      </w:r>
      <w:r w:rsidR="009B6476">
        <w:rPr>
          <w:rFonts w:ascii="Tahoma" w:hAnsi="Tahoma" w:cs="Tahoma"/>
        </w:rPr>
        <w:t xml:space="preserve"> </w:t>
      </w:r>
    </w:p>
    <w:p w14:paraId="7ECBFD62" w14:textId="381E9F64" w:rsidR="00723F77" w:rsidRDefault="00723F77" w:rsidP="00041E45">
      <w:pPr>
        <w:jc w:val="both"/>
        <w:rPr>
          <w:rFonts w:ascii="Tahoma" w:hAnsi="Tahoma" w:cs="Tahoma"/>
        </w:rPr>
      </w:pPr>
    </w:p>
    <w:p w14:paraId="7F48800F" w14:textId="77777777" w:rsidR="00AA2BE8" w:rsidRDefault="00AA2BE8" w:rsidP="00041E45">
      <w:pPr>
        <w:jc w:val="both"/>
        <w:rPr>
          <w:rFonts w:ascii="Tahoma" w:hAnsi="Tahoma" w:cs="Tahoma"/>
        </w:rPr>
      </w:pPr>
    </w:p>
    <w:p w14:paraId="27E0EDBA" w14:textId="77777777" w:rsidR="00AA2BE8" w:rsidRDefault="00AA2BE8"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A635E"/>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C2E49"/>
    <w:rsid w:val="0040171B"/>
    <w:rsid w:val="00467005"/>
    <w:rsid w:val="004A5154"/>
    <w:rsid w:val="00531928"/>
    <w:rsid w:val="005440A4"/>
    <w:rsid w:val="00546A5A"/>
    <w:rsid w:val="00566580"/>
    <w:rsid w:val="00567AF3"/>
    <w:rsid w:val="00583BC8"/>
    <w:rsid w:val="00654380"/>
    <w:rsid w:val="006E32BB"/>
    <w:rsid w:val="00723F77"/>
    <w:rsid w:val="00744696"/>
    <w:rsid w:val="00772067"/>
    <w:rsid w:val="0077545D"/>
    <w:rsid w:val="007A0E6C"/>
    <w:rsid w:val="007B661D"/>
    <w:rsid w:val="007D19FF"/>
    <w:rsid w:val="007D2085"/>
    <w:rsid w:val="0083454A"/>
    <w:rsid w:val="00835AC6"/>
    <w:rsid w:val="00837B38"/>
    <w:rsid w:val="00856AE3"/>
    <w:rsid w:val="00896554"/>
    <w:rsid w:val="008A7407"/>
    <w:rsid w:val="008F108A"/>
    <w:rsid w:val="008F10C2"/>
    <w:rsid w:val="00902D2F"/>
    <w:rsid w:val="00961FDF"/>
    <w:rsid w:val="00983B7D"/>
    <w:rsid w:val="009A37C2"/>
    <w:rsid w:val="009B6476"/>
    <w:rsid w:val="009F3AB8"/>
    <w:rsid w:val="00A11606"/>
    <w:rsid w:val="00A23B21"/>
    <w:rsid w:val="00A57894"/>
    <w:rsid w:val="00A6401C"/>
    <w:rsid w:val="00A81AB7"/>
    <w:rsid w:val="00AA2BE8"/>
    <w:rsid w:val="00AE7F3B"/>
    <w:rsid w:val="00B34260"/>
    <w:rsid w:val="00B41C02"/>
    <w:rsid w:val="00B50E38"/>
    <w:rsid w:val="00B554B8"/>
    <w:rsid w:val="00B61A1D"/>
    <w:rsid w:val="00B64EE0"/>
    <w:rsid w:val="00BB0E32"/>
    <w:rsid w:val="00BB6D9D"/>
    <w:rsid w:val="00BC77A5"/>
    <w:rsid w:val="00BD3FC1"/>
    <w:rsid w:val="00C17ED7"/>
    <w:rsid w:val="00C41F15"/>
    <w:rsid w:val="00C70171"/>
    <w:rsid w:val="00C70A68"/>
    <w:rsid w:val="00C82E98"/>
    <w:rsid w:val="00CB60D7"/>
    <w:rsid w:val="00CC7C21"/>
    <w:rsid w:val="00CE0886"/>
    <w:rsid w:val="00CF2516"/>
    <w:rsid w:val="00CF6D63"/>
    <w:rsid w:val="00D23B28"/>
    <w:rsid w:val="00D46C8D"/>
    <w:rsid w:val="00DE5444"/>
    <w:rsid w:val="00DF072F"/>
    <w:rsid w:val="00E32014"/>
    <w:rsid w:val="00E5653E"/>
    <w:rsid w:val="00EB58BA"/>
    <w:rsid w:val="00F04A6E"/>
    <w:rsid w:val="00F04DEF"/>
    <w:rsid w:val="00F31070"/>
    <w:rsid w:val="00F53F10"/>
    <w:rsid w:val="00F636F8"/>
    <w:rsid w:val="00FA2C8E"/>
    <w:rsid w:val="00FB2AA0"/>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3</Pages>
  <Words>373</Words>
  <Characters>2052</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85</cp:revision>
  <dcterms:created xsi:type="dcterms:W3CDTF">2021-11-25T09:44:00Z</dcterms:created>
  <dcterms:modified xsi:type="dcterms:W3CDTF">2024-03-16T14:49:00Z</dcterms:modified>
</cp:coreProperties>
</file>