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24A9A72" w:rsidR="00902D2F" w:rsidRDefault="009C131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32BC53E" wp14:editId="0BC195A5">
            <wp:extent cx="5760720" cy="4320540"/>
            <wp:effectExtent l="0" t="0" r="0" b="3810"/>
            <wp:docPr id="1883350359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6938E1B5" w14:textId="0275DE65" w:rsidR="00500F44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C12166">
        <w:rPr>
          <w:rFonts w:ascii="Tahoma" w:hAnsi="Tahoma" w:cs="Tahoma"/>
        </w:rPr>
        <w:t>Mon optimisme de la semaine dernière n’a pas donné ce que j’</w:t>
      </w:r>
      <w:r w:rsidR="00236694">
        <w:rPr>
          <w:rFonts w:ascii="Tahoma" w:hAnsi="Tahoma" w:cs="Tahoma"/>
        </w:rPr>
        <w:t>espérais</w:t>
      </w:r>
      <w:r w:rsidR="00C12166">
        <w:rPr>
          <w:rFonts w:ascii="Tahoma" w:hAnsi="Tahoma" w:cs="Tahoma"/>
        </w:rPr>
        <w:t xml:space="preserve">. Pourtant l’accumulation de signaux positifs laissaient penser que la hausse des prix allait se poursuivre. </w:t>
      </w:r>
      <w:r w:rsidR="00FD1BEA">
        <w:rPr>
          <w:rFonts w:ascii="Tahoma" w:hAnsi="Tahoma" w:cs="Tahoma"/>
        </w:rPr>
        <w:t xml:space="preserve">Mais comme on peut l’observer sur le graphique, la dernière chandelle hebdomadaire est revenue totalement sur la précédente </w:t>
      </w:r>
      <w:r w:rsidR="00EA5754">
        <w:rPr>
          <w:rFonts w:ascii="Tahoma" w:hAnsi="Tahoma" w:cs="Tahoma"/>
        </w:rPr>
        <w:t>englobant la bougie blanche.</w:t>
      </w:r>
    </w:p>
    <w:p w14:paraId="7AC4D2D2" w14:textId="2A5035C5" w:rsidR="00DF072F" w:rsidRDefault="00500F4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nous ne sommes pas sur un sommet, cette dernière bougie noire ne forme pas un avalement baissier, symbole d’un probable retournement à la baisse</w:t>
      </w:r>
      <w:r w:rsidR="00EA5754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EA5754">
        <w:rPr>
          <w:rFonts w:ascii="Tahoma" w:hAnsi="Tahoma" w:cs="Tahoma"/>
        </w:rPr>
        <w:t>E</w:t>
      </w:r>
      <w:r>
        <w:rPr>
          <w:rFonts w:ascii="Tahoma" w:hAnsi="Tahoma" w:cs="Tahoma"/>
        </w:rPr>
        <w:t>lle place le contrat dans un environnement qui montre que les baissiers ont repris l’avantage.</w:t>
      </w:r>
    </w:p>
    <w:p w14:paraId="117A8D49" w14:textId="27C53338" w:rsidR="00500F44" w:rsidRDefault="00500F4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 </w:t>
      </w:r>
      <w:r w:rsidR="00EA5754">
        <w:rPr>
          <w:rFonts w:ascii="Tahoma" w:hAnsi="Tahoma" w:cs="Tahoma"/>
        </w:rPr>
        <w:t xml:space="preserve">qui </w:t>
      </w:r>
      <w:r>
        <w:rPr>
          <w:rFonts w:ascii="Tahoma" w:hAnsi="Tahoma" w:cs="Tahoma"/>
        </w:rPr>
        <w:t xml:space="preserve">avantage la baisse des prix, il reste tout de même un niveau important </w:t>
      </w:r>
      <w:r w:rsidR="00431176">
        <w:rPr>
          <w:rFonts w:ascii="Tahoma" w:hAnsi="Tahoma" w:cs="Tahoma"/>
        </w:rPr>
        <w:t xml:space="preserve">caractérisé par les deux </w:t>
      </w:r>
      <w:r w:rsidR="00236694">
        <w:rPr>
          <w:rFonts w:ascii="Tahoma" w:hAnsi="Tahoma" w:cs="Tahoma"/>
        </w:rPr>
        <w:t>mèches</w:t>
      </w:r>
      <w:r w:rsidR="00431176">
        <w:rPr>
          <w:rFonts w:ascii="Tahoma" w:hAnsi="Tahoma" w:cs="Tahoma"/>
        </w:rPr>
        <w:t xml:space="preserve"> basses des bougies en T-3 et T-4. Ces deux chandeliers ont </w:t>
      </w:r>
      <w:r w:rsidR="00EA5754">
        <w:rPr>
          <w:rFonts w:ascii="Tahoma" w:hAnsi="Tahoma" w:cs="Tahoma"/>
        </w:rPr>
        <w:t>s</w:t>
      </w:r>
      <w:r w:rsidR="00431176">
        <w:rPr>
          <w:rFonts w:ascii="Tahoma" w:hAnsi="Tahoma" w:cs="Tahoma"/>
        </w:rPr>
        <w:t xml:space="preserve">u rebondir sur </w:t>
      </w:r>
      <w:r w:rsidR="000047FA">
        <w:rPr>
          <w:rFonts w:ascii="Tahoma" w:hAnsi="Tahoma" w:cs="Tahoma"/>
        </w:rPr>
        <w:t xml:space="preserve">131.22, qui représente 61.8% de retracement de la précédente hausse. </w:t>
      </w:r>
      <w:r w:rsidR="009574E2">
        <w:rPr>
          <w:rFonts w:ascii="Tahoma" w:hAnsi="Tahoma" w:cs="Tahoma"/>
        </w:rPr>
        <w:t xml:space="preserve">Cette action des prix nous indique qu’un dépassement au cours des prochaines semaines permettra d’envisager un retour sur le bas récent de 126.74. </w:t>
      </w:r>
    </w:p>
    <w:p w14:paraId="374D1F17" w14:textId="18231D68" w:rsidR="00583BC8" w:rsidRDefault="009574E2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KS </w:t>
      </w:r>
      <w:r w:rsidR="00EA5754">
        <w:rPr>
          <w:rFonts w:ascii="Tahoma" w:hAnsi="Tahoma" w:cs="Tahoma"/>
        </w:rPr>
        <w:t xml:space="preserve">de 132.60 </w:t>
      </w:r>
      <w:r>
        <w:rPr>
          <w:rFonts w:ascii="Tahoma" w:hAnsi="Tahoma" w:cs="Tahoma"/>
        </w:rPr>
        <w:t>quant à lui sert de zone de rappel. Le croisement du nuage futur sort le marché de son environnement baissier de moyen terme</w:t>
      </w:r>
      <w:r w:rsidR="002B610E">
        <w:rPr>
          <w:rFonts w:ascii="Tahoma" w:hAnsi="Tahoma" w:cs="Tahoma"/>
        </w:rPr>
        <w:t xml:space="preserve"> pour favoriser la hausse ou la consolidation.</w:t>
      </w:r>
      <w:r>
        <w:rPr>
          <w:rFonts w:ascii="Tahoma" w:hAnsi="Tahoma" w:cs="Tahoma"/>
        </w:rPr>
        <w:t xml:space="preserve"> Ce contexte limitera </w:t>
      </w:r>
      <w:r w:rsidR="00EA5754">
        <w:rPr>
          <w:rFonts w:ascii="Tahoma" w:hAnsi="Tahoma" w:cs="Tahoma"/>
        </w:rPr>
        <w:t>le potentiel de</w:t>
      </w:r>
      <w:r>
        <w:rPr>
          <w:rFonts w:ascii="Tahoma" w:hAnsi="Tahoma" w:cs="Tahoma"/>
        </w:rPr>
        <w:t xml:space="preserve"> baisse à 126.74.</w:t>
      </w:r>
    </w:p>
    <w:p w14:paraId="53AA9186" w14:textId="1C9687D3" w:rsidR="00583BC8" w:rsidRPr="00041E45" w:rsidRDefault="009C1314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lastRenderedPageBreak/>
        <w:t>D</w:t>
      </w:r>
      <w:r w:rsidR="00583BC8" w:rsidRPr="00041E45">
        <w:rPr>
          <w:rFonts w:ascii="Tahoma" w:hAnsi="Tahoma" w:cs="Tahoma"/>
          <w:sz w:val="32"/>
          <w:szCs w:val="32"/>
          <w:u w:val="single"/>
        </w:rPr>
        <w:t>AY</w:t>
      </w:r>
    </w:p>
    <w:p w14:paraId="1675B8DF" w14:textId="15C0FD63" w:rsidR="00583BC8" w:rsidRDefault="009C131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E219895" wp14:editId="231FE975">
            <wp:extent cx="5760720" cy="4320540"/>
            <wp:effectExtent l="0" t="0" r="0" b="3810"/>
            <wp:docPr id="185327231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8B186" w14:textId="6577108F" w:rsidR="00467005" w:rsidRDefault="009C131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L’avalement baissier du 11 mars </w:t>
      </w:r>
      <w:r w:rsidR="00EA5754">
        <w:rPr>
          <w:rFonts w:ascii="Tahoma" w:hAnsi="Tahoma" w:cs="Tahoma"/>
        </w:rPr>
        <w:t xml:space="preserve">(J-5) </w:t>
      </w:r>
      <w:r>
        <w:rPr>
          <w:rFonts w:ascii="Tahoma" w:hAnsi="Tahoma" w:cs="Tahoma"/>
        </w:rPr>
        <w:t xml:space="preserve">a débouché sur une nouvelle séquence de baisse. </w:t>
      </w:r>
    </w:p>
    <w:p w14:paraId="34B92F0C" w14:textId="460F1D06" w:rsidR="00144B10" w:rsidRDefault="009C131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Après cinq séances orientées à la baisse, le contrat a terminé la semaine sur un petit doji. Cette chandelle </w:t>
      </w:r>
      <w:r w:rsidR="00236694">
        <w:rPr>
          <w:rFonts w:ascii="Tahoma" w:hAnsi="Tahoma" w:cs="Tahoma"/>
        </w:rPr>
        <w:t>représente</w:t>
      </w:r>
      <w:r w:rsidR="002F5999">
        <w:rPr>
          <w:rFonts w:ascii="Tahoma" w:hAnsi="Tahoma" w:cs="Tahoma"/>
        </w:rPr>
        <w:t xml:space="preserve"> soit une pause de la dynamique baissière soit un retour des acheteurs qui s</w:t>
      </w:r>
      <w:r w:rsidR="00EA5754">
        <w:rPr>
          <w:rFonts w:ascii="Tahoma" w:hAnsi="Tahoma" w:cs="Tahoma"/>
        </w:rPr>
        <w:t>eraient</w:t>
      </w:r>
      <w:r w:rsidR="002F5999">
        <w:rPr>
          <w:rFonts w:ascii="Tahoma" w:hAnsi="Tahoma" w:cs="Tahoma"/>
        </w:rPr>
        <w:t xml:space="preserve"> </w:t>
      </w:r>
      <w:r w:rsidR="00EA5754">
        <w:rPr>
          <w:rFonts w:ascii="Tahoma" w:hAnsi="Tahoma" w:cs="Tahoma"/>
        </w:rPr>
        <w:t>ainsi</w:t>
      </w:r>
      <w:r w:rsidR="002F5999">
        <w:rPr>
          <w:rFonts w:ascii="Tahoma" w:hAnsi="Tahoma" w:cs="Tahoma"/>
        </w:rPr>
        <w:t xml:space="preserve"> à force égale avec les vendeurs.</w:t>
      </w:r>
      <w:r w:rsidR="00144B10">
        <w:rPr>
          <w:rFonts w:ascii="Tahoma" w:hAnsi="Tahoma" w:cs="Tahoma"/>
        </w:rPr>
        <w:t xml:space="preserve"> L’analyse des volumes ne donne pas d’information pertinente alors que l’analyse directionnelle </w:t>
      </w:r>
      <w:r w:rsidR="00066DEA">
        <w:rPr>
          <w:rFonts w:ascii="Tahoma" w:hAnsi="Tahoma" w:cs="Tahoma"/>
        </w:rPr>
        <w:t>du doji</w:t>
      </w:r>
      <w:r w:rsidR="00144B10">
        <w:rPr>
          <w:rFonts w:ascii="Tahoma" w:hAnsi="Tahoma" w:cs="Tahoma"/>
        </w:rPr>
        <w:t xml:space="preserve"> donne un avantage à la hausse. Cet avantage tendrait à confirmer que </w:t>
      </w:r>
      <w:r w:rsidR="00066DEA">
        <w:rPr>
          <w:rFonts w:ascii="Tahoma" w:hAnsi="Tahoma" w:cs="Tahoma"/>
        </w:rPr>
        <w:t>acheteurs</w:t>
      </w:r>
      <w:r w:rsidR="00144B10">
        <w:rPr>
          <w:rFonts w:ascii="Tahoma" w:hAnsi="Tahoma" w:cs="Tahoma"/>
        </w:rPr>
        <w:t xml:space="preserve"> et </w:t>
      </w:r>
      <w:r w:rsidR="00066DEA">
        <w:rPr>
          <w:rFonts w:ascii="Tahoma" w:hAnsi="Tahoma" w:cs="Tahoma"/>
        </w:rPr>
        <w:t>vendeurs</w:t>
      </w:r>
      <w:r w:rsidR="00144B10">
        <w:rPr>
          <w:rFonts w:ascii="Tahoma" w:hAnsi="Tahoma" w:cs="Tahoma"/>
        </w:rPr>
        <w:t xml:space="preserve"> sont </w:t>
      </w:r>
      <w:r w:rsidR="00264347">
        <w:rPr>
          <w:rFonts w:ascii="Tahoma" w:hAnsi="Tahoma" w:cs="Tahoma"/>
        </w:rPr>
        <w:t xml:space="preserve">maintenant </w:t>
      </w:r>
      <w:r w:rsidR="00144B10">
        <w:rPr>
          <w:rFonts w:ascii="Tahoma" w:hAnsi="Tahoma" w:cs="Tahoma"/>
        </w:rPr>
        <w:t>à égalité</w:t>
      </w:r>
      <w:r w:rsidR="00264347">
        <w:rPr>
          <w:rFonts w:ascii="Tahoma" w:hAnsi="Tahoma" w:cs="Tahoma"/>
        </w:rPr>
        <w:t xml:space="preserve"> et qu’un courant haussier peut prendre naissance avec plus de facilité que les jours précédents.</w:t>
      </w:r>
    </w:p>
    <w:p w14:paraId="10BB9766" w14:textId="5230C334" w:rsidR="00723F77" w:rsidRDefault="00CF7DD8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Sans mouvement marquant, TS et KS vont s’aplatir indiquant d’une part que le marché n’est plus en mouvement et qu’il le restera tant que haussiers ou baissiers resteront à égalité. D’autre part dans cet environnement le plat de KS de 132.69 servira là aussi de force de rappel </w:t>
      </w:r>
    </w:p>
    <w:p w14:paraId="07578593" w14:textId="77777777" w:rsidR="00CF7DD8" w:rsidRDefault="00CF7DD8" w:rsidP="00041E45">
      <w:pPr>
        <w:jc w:val="both"/>
        <w:rPr>
          <w:rFonts w:ascii="Tahoma" w:hAnsi="Tahoma" w:cs="Tahoma"/>
        </w:rPr>
      </w:pPr>
    </w:p>
    <w:p w14:paraId="258EB8FF" w14:textId="2599B94D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CF7DD8">
        <w:rPr>
          <w:rFonts w:ascii="Tahoma" w:hAnsi="Tahoma" w:cs="Tahoma"/>
        </w:rPr>
        <w:t xml:space="preserve"> Leger avantage aux acheteurs qui en cas de poursuite de la baisse, devraient agir en retour des prix sur 131.22. En cas de rupture </w:t>
      </w:r>
      <w:r w:rsidR="00164A15">
        <w:rPr>
          <w:rFonts w:ascii="Tahoma" w:hAnsi="Tahoma" w:cs="Tahoma"/>
        </w:rPr>
        <w:t>une baisse</w:t>
      </w:r>
      <w:r w:rsidR="00CF7DD8">
        <w:rPr>
          <w:rFonts w:ascii="Tahoma" w:hAnsi="Tahoma" w:cs="Tahoma"/>
        </w:rPr>
        <w:t xml:space="preserve"> sur 126.74 sera envisagé dans un environnement de consolidation des prix.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047FA"/>
    <w:rsid w:val="0002580A"/>
    <w:rsid w:val="00041E45"/>
    <w:rsid w:val="000524C5"/>
    <w:rsid w:val="000556C3"/>
    <w:rsid w:val="00066DEA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4B10"/>
    <w:rsid w:val="0014687D"/>
    <w:rsid w:val="0015581D"/>
    <w:rsid w:val="00163C46"/>
    <w:rsid w:val="00164A15"/>
    <w:rsid w:val="001705F4"/>
    <w:rsid w:val="00190995"/>
    <w:rsid w:val="001A4796"/>
    <w:rsid w:val="001D474B"/>
    <w:rsid w:val="001F650A"/>
    <w:rsid w:val="002003AD"/>
    <w:rsid w:val="00236694"/>
    <w:rsid w:val="002421FE"/>
    <w:rsid w:val="00262E25"/>
    <w:rsid w:val="00263ED0"/>
    <w:rsid w:val="00264347"/>
    <w:rsid w:val="002A1F8E"/>
    <w:rsid w:val="002B5CB1"/>
    <w:rsid w:val="002B610E"/>
    <w:rsid w:val="002C0A31"/>
    <w:rsid w:val="002F54B0"/>
    <w:rsid w:val="002F5999"/>
    <w:rsid w:val="00303214"/>
    <w:rsid w:val="0030643B"/>
    <w:rsid w:val="00337611"/>
    <w:rsid w:val="00340FD9"/>
    <w:rsid w:val="00352DD9"/>
    <w:rsid w:val="003767E0"/>
    <w:rsid w:val="00397D3D"/>
    <w:rsid w:val="0040171B"/>
    <w:rsid w:val="00431176"/>
    <w:rsid w:val="00467005"/>
    <w:rsid w:val="004A2D2D"/>
    <w:rsid w:val="004A5154"/>
    <w:rsid w:val="004F48EE"/>
    <w:rsid w:val="00500F44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26C9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574E2"/>
    <w:rsid w:val="00961FDF"/>
    <w:rsid w:val="00983B7D"/>
    <w:rsid w:val="009A37C2"/>
    <w:rsid w:val="009C1314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2166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CF7DD8"/>
    <w:rsid w:val="00D23B28"/>
    <w:rsid w:val="00D46C8D"/>
    <w:rsid w:val="00DA1359"/>
    <w:rsid w:val="00DE5444"/>
    <w:rsid w:val="00DF072F"/>
    <w:rsid w:val="00E32014"/>
    <w:rsid w:val="00E3727C"/>
    <w:rsid w:val="00EA5754"/>
    <w:rsid w:val="00EB58BA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  <w:rsid w:val="00FD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3</Pages>
  <Words>513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109</cp:revision>
  <dcterms:created xsi:type="dcterms:W3CDTF">2021-11-25T09:44:00Z</dcterms:created>
  <dcterms:modified xsi:type="dcterms:W3CDTF">2024-03-16T14:45:00Z</dcterms:modified>
</cp:coreProperties>
</file>