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1C0BB850" w:rsidR="00902D2F" w:rsidRDefault="003A609F" w:rsidP="00B41C02">
      <w:pPr>
        <w:jc w:val="both"/>
        <w:rPr>
          <w:rFonts w:ascii="Tahoma" w:hAnsi="Tahoma" w:cs="Tahoma"/>
        </w:rPr>
      </w:pPr>
      <w:r>
        <w:rPr>
          <w:noProof/>
        </w:rPr>
        <w:drawing>
          <wp:inline distT="0" distB="0" distL="0" distR="0" wp14:anchorId="54BE0E7E" wp14:editId="1B204BE8">
            <wp:extent cx="5760720" cy="4320540"/>
            <wp:effectExtent l="0" t="0" r="0" b="3810"/>
            <wp:docPr id="17321419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2A55C42D" w:rsidR="00DF072F" w:rsidRDefault="0094367C" w:rsidP="00B41C02">
      <w:pPr>
        <w:jc w:val="both"/>
        <w:rPr>
          <w:rFonts w:ascii="Tahoma" w:hAnsi="Tahoma" w:cs="Tahoma"/>
        </w:rPr>
      </w:pPr>
      <w:r>
        <w:rPr>
          <w:rFonts w:ascii="Tahoma" w:hAnsi="Tahoma" w:cs="Tahoma"/>
        </w:rPr>
        <w:t xml:space="preserve">Si l’on pense que le contrat Bund était dans une vague baissière depuis son dernier haut de 138.46 en décembre dernier, alors on peut </w:t>
      </w:r>
      <w:r w:rsidR="00AB0A46">
        <w:rPr>
          <w:rFonts w:ascii="Tahoma" w:hAnsi="Tahoma" w:cs="Tahoma"/>
        </w:rPr>
        <w:t>imaginer</w:t>
      </w:r>
      <w:r>
        <w:rPr>
          <w:rFonts w:ascii="Tahoma" w:hAnsi="Tahoma" w:cs="Tahoma"/>
        </w:rPr>
        <w:t xml:space="preserve"> que </w:t>
      </w:r>
      <w:r w:rsidR="00AB0A46">
        <w:rPr>
          <w:rFonts w:ascii="Tahoma" w:hAnsi="Tahoma" w:cs="Tahoma"/>
        </w:rPr>
        <w:t>les alertes haussières</w:t>
      </w:r>
      <w:r>
        <w:rPr>
          <w:rFonts w:ascii="Tahoma" w:hAnsi="Tahoma" w:cs="Tahoma"/>
        </w:rPr>
        <w:t xml:space="preserve"> de type marteau et dernièrement la </w:t>
      </w:r>
      <w:r w:rsidR="00AB0A46">
        <w:rPr>
          <w:rFonts w:ascii="Tahoma" w:hAnsi="Tahoma" w:cs="Tahoma"/>
        </w:rPr>
        <w:t>pénétrante</w:t>
      </w:r>
      <w:r>
        <w:rPr>
          <w:rFonts w:ascii="Tahoma" w:hAnsi="Tahoma" w:cs="Tahoma"/>
        </w:rPr>
        <w:t xml:space="preserve"> haussière qui </w:t>
      </w:r>
      <w:r w:rsidR="00AB0A46">
        <w:rPr>
          <w:rFonts w:ascii="Tahoma" w:hAnsi="Tahoma" w:cs="Tahoma"/>
        </w:rPr>
        <w:t>clôture</w:t>
      </w:r>
      <w:r>
        <w:rPr>
          <w:rFonts w:ascii="Tahoma" w:hAnsi="Tahoma" w:cs="Tahoma"/>
        </w:rPr>
        <w:t xml:space="preserve"> la semaine, nous signalent depuis un certain temps que le marché a touché un point bas.</w:t>
      </w:r>
    </w:p>
    <w:p w14:paraId="53EBFD8C" w14:textId="2D65077D" w:rsidR="0094367C" w:rsidRDefault="0013078A" w:rsidP="00B41C02">
      <w:pPr>
        <w:jc w:val="both"/>
        <w:rPr>
          <w:rFonts w:ascii="Tahoma" w:hAnsi="Tahoma" w:cs="Tahoma"/>
        </w:rPr>
      </w:pPr>
      <w:r>
        <w:rPr>
          <w:rFonts w:ascii="Tahoma" w:hAnsi="Tahoma" w:cs="Tahoma"/>
        </w:rPr>
        <w:t xml:space="preserve">Pour autant, il restera des résistances à franchir pour envisager le retour d’un courant acheteur plus </w:t>
      </w:r>
      <w:r w:rsidR="00AB0A46">
        <w:rPr>
          <w:rFonts w:ascii="Tahoma" w:hAnsi="Tahoma" w:cs="Tahoma"/>
        </w:rPr>
        <w:t>déterminé</w:t>
      </w:r>
      <w:r>
        <w:rPr>
          <w:rFonts w:ascii="Tahoma" w:hAnsi="Tahoma" w:cs="Tahoma"/>
        </w:rPr>
        <w:t xml:space="preserve">. En effet les hausses et les baisses qui s’alternent tendent à nous indiquer l’absence d’une conviction forte de la part des </w:t>
      </w:r>
      <w:r w:rsidR="00B04DBD">
        <w:rPr>
          <w:rFonts w:ascii="Tahoma" w:hAnsi="Tahoma" w:cs="Tahoma"/>
        </w:rPr>
        <w:t>acheteurs</w:t>
      </w:r>
      <w:r>
        <w:rPr>
          <w:rFonts w:ascii="Tahoma" w:hAnsi="Tahoma" w:cs="Tahoma"/>
        </w:rPr>
        <w:t>.</w:t>
      </w:r>
    </w:p>
    <w:p w14:paraId="172B6A68" w14:textId="7444B7A0" w:rsidR="0013078A" w:rsidRDefault="0013078A" w:rsidP="00B41C02">
      <w:pPr>
        <w:jc w:val="both"/>
        <w:rPr>
          <w:rFonts w:ascii="Tahoma" w:hAnsi="Tahoma" w:cs="Tahoma"/>
        </w:rPr>
      </w:pPr>
      <w:r>
        <w:rPr>
          <w:rFonts w:ascii="Tahoma" w:hAnsi="Tahoma" w:cs="Tahoma"/>
        </w:rPr>
        <w:t>En dehors du plat de KS de 132.60 qui pourra être utilisé comme point pivot, le contrat devra sorti</w:t>
      </w:r>
      <w:r w:rsidR="00B04DBD">
        <w:rPr>
          <w:rFonts w:ascii="Tahoma" w:hAnsi="Tahoma" w:cs="Tahoma"/>
        </w:rPr>
        <w:t>r</w:t>
      </w:r>
      <w:r>
        <w:rPr>
          <w:rFonts w:ascii="Tahoma" w:hAnsi="Tahoma" w:cs="Tahoma"/>
        </w:rPr>
        <w:t xml:space="preserve"> de son nuage en dépassement du plat de SSB de 133.64. Ce dépassement devra quant à lui </w:t>
      </w:r>
      <w:r w:rsidR="00AB0A46">
        <w:rPr>
          <w:rFonts w:ascii="Tahoma" w:hAnsi="Tahoma" w:cs="Tahoma"/>
        </w:rPr>
        <w:t>être</w:t>
      </w:r>
      <w:r>
        <w:rPr>
          <w:rFonts w:ascii="Tahoma" w:hAnsi="Tahoma" w:cs="Tahoma"/>
        </w:rPr>
        <w:t xml:space="preserve"> confirmé par la cassure de la SSA de la LS matérialisé</w:t>
      </w:r>
      <w:r w:rsidR="00B04DBD">
        <w:rPr>
          <w:rFonts w:ascii="Tahoma" w:hAnsi="Tahoma" w:cs="Tahoma"/>
        </w:rPr>
        <w:t>e</w:t>
      </w:r>
      <w:r>
        <w:rPr>
          <w:rFonts w:ascii="Tahoma" w:hAnsi="Tahoma" w:cs="Tahoma"/>
        </w:rPr>
        <w:t xml:space="preserve"> par un plat sur 134.41.</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41D96FEA" w:rsidR="00583BC8" w:rsidRDefault="003A609F" w:rsidP="00B41C02">
      <w:pPr>
        <w:jc w:val="both"/>
        <w:rPr>
          <w:rFonts w:ascii="Tahoma" w:hAnsi="Tahoma" w:cs="Tahoma"/>
        </w:rPr>
      </w:pPr>
      <w:r>
        <w:rPr>
          <w:noProof/>
        </w:rPr>
        <w:lastRenderedPageBreak/>
        <w:drawing>
          <wp:inline distT="0" distB="0" distL="0" distR="0" wp14:anchorId="3BEADBD8" wp14:editId="73E4E63E">
            <wp:extent cx="5760720" cy="4320540"/>
            <wp:effectExtent l="0" t="0" r="0" b="3810"/>
            <wp:docPr id="6393073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0DA16515" w:rsidR="00467005" w:rsidRDefault="00DE1660" w:rsidP="00041E45">
      <w:pPr>
        <w:jc w:val="both"/>
        <w:rPr>
          <w:rFonts w:ascii="Tahoma" w:hAnsi="Tahoma" w:cs="Tahoma"/>
        </w:rPr>
      </w:pPr>
      <w:r>
        <w:rPr>
          <w:rFonts w:ascii="Tahoma" w:hAnsi="Tahoma" w:cs="Tahoma"/>
        </w:rPr>
        <w:t>La dernière chandelle blanche est positive car son amplitude termine une vague d’hésitation ou d’absence de conviction qui s’était développé depuis un peu plus d’une semaine.</w:t>
      </w:r>
    </w:p>
    <w:p w14:paraId="7F9A07C1" w14:textId="6973BD6A" w:rsidR="00DE1660" w:rsidRDefault="00DE1660" w:rsidP="00041E45">
      <w:pPr>
        <w:jc w:val="both"/>
        <w:rPr>
          <w:rFonts w:ascii="Tahoma" w:hAnsi="Tahoma" w:cs="Tahoma"/>
        </w:rPr>
      </w:pPr>
      <w:r>
        <w:rPr>
          <w:rFonts w:ascii="Tahoma" w:hAnsi="Tahoma" w:cs="Tahoma"/>
        </w:rPr>
        <w:t xml:space="preserve">Cette chandelle placera le marché dans un environnement favorable à une poursuite du mouvement tant que les prix se maintiendront </w:t>
      </w:r>
      <w:r w:rsidR="00AB0A46">
        <w:rPr>
          <w:rFonts w:ascii="Tahoma" w:hAnsi="Tahoma" w:cs="Tahoma"/>
        </w:rPr>
        <w:t>au-dessus</w:t>
      </w:r>
      <w:r>
        <w:rPr>
          <w:rFonts w:ascii="Tahoma" w:hAnsi="Tahoma" w:cs="Tahoma"/>
        </w:rPr>
        <w:t xml:space="preserve"> de 132.71. C</w:t>
      </w:r>
      <w:r w:rsidR="00B04DBD">
        <w:rPr>
          <w:rFonts w:ascii="Tahoma" w:hAnsi="Tahoma" w:cs="Tahoma"/>
        </w:rPr>
        <w:t>e maintien</w:t>
      </w:r>
      <w:r>
        <w:rPr>
          <w:rFonts w:ascii="Tahoma" w:hAnsi="Tahoma" w:cs="Tahoma"/>
        </w:rPr>
        <w:t xml:space="preserve"> signifiera que les corrections de prix s</w:t>
      </w:r>
      <w:r w:rsidR="00B04DBD">
        <w:rPr>
          <w:rFonts w:ascii="Tahoma" w:hAnsi="Tahoma" w:cs="Tahoma"/>
        </w:rPr>
        <w:t>er</w:t>
      </w:r>
      <w:r>
        <w:rPr>
          <w:rFonts w:ascii="Tahoma" w:hAnsi="Tahoma" w:cs="Tahoma"/>
        </w:rPr>
        <w:t xml:space="preserve">ont vues comme </w:t>
      </w:r>
      <w:r w:rsidR="00AB0A46">
        <w:rPr>
          <w:rFonts w:ascii="Tahoma" w:hAnsi="Tahoma" w:cs="Tahoma"/>
        </w:rPr>
        <w:t>des opportunités</w:t>
      </w:r>
      <w:r>
        <w:rPr>
          <w:rFonts w:ascii="Tahoma" w:hAnsi="Tahoma" w:cs="Tahoma"/>
        </w:rPr>
        <w:t xml:space="preserve"> dans un environnement favorable à la hausse.</w:t>
      </w:r>
    </w:p>
    <w:p w14:paraId="17DB1B8B" w14:textId="5CABC192" w:rsidR="00DE1660" w:rsidRDefault="00DE1660" w:rsidP="00041E45">
      <w:pPr>
        <w:jc w:val="both"/>
        <w:rPr>
          <w:rFonts w:ascii="Tahoma" w:hAnsi="Tahoma" w:cs="Tahoma"/>
        </w:rPr>
      </w:pPr>
      <w:r>
        <w:rPr>
          <w:rFonts w:ascii="Tahoma" w:hAnsi="Tahoma" w:cs="Tahoma"/>
        </w:rPr>
        <w:t xml:space="preserve">Une progression </w:t>
      </w:r>
      <w:r w:rsidR="00B04DBD">
        <w:rPr>
          <w:rFonts w:ascii="Tahoma" w:hAnsi="Tahoma" w:cs="Tahoma"/>
        </w:rPr>
        <w:t>du Bund</w:t>
      </w:r>
      <w:r>
        <w:rPr>
          <w:rFonts w:ascii="Tahoma" w:hAnsi="Tahoma" w:cs="Tahoma"/>
        </w:rPr>
        <w:t xml:space="preserve"> </w:t>
      </w:r>
      <w:r w:rsidR="00AB0A46">
        <w:rPr>
          <w:rFonts w:ascii="Tahoma" w:hAnsi="Tahoma" w:cs="Tahoma"/>
        </w:rPr>
        <w:t>ramènera</w:t>
      </w:r>
      <w:r>
        <w:rPr>
          <w:rFonts w:ascii="Tahoma" w:hAnsi="Tahoma" w:cs="Tahoma"/>
        </w:rPr>
        <w:t xml:space="preserve"> le marché sous son nuage qui formera alors une zone de résistance. Je choisirai comme point clé le plat de SSB futur de 133.57 pour envisager ou pas une poursuite de la hausse </w:t>
      </w:r>
      <w:r w:rsidR="00AB0A46">
        <w:rPr>
          <w:rFonts w:ascii="Tahoma" w:hAnsi="Tahoma" w:cs="Tahoma"/>
        </w:rPr>
        <w:t>au-delà</w:t>
      </w:r>
      <w:r w:rsidR="004340C0">
        <w:rPr>
          <w:rFonts w:ascii="Tahoma" w:hAnsi="Tahoma" w:cs="Tahoma"/>
        </w:rPr>
        <w:t xml:space="preserve"> du nuage.</w:t>
      </w:r>
    </w:p>
    <w:p w14:paraId="10BB9766" w14:textId="77777777" w:rsidR="00723F77" w:rsidRDefault="00723F77" w:rsidP="00041E45">
      <w:pPr>
        <w:jc w:val="both"/>
        <w:rPr>
          <w:rFonts w:ascii="Tahoma" w:hAnsi="Tahoma" w:cs="Tahoma"/>
        </w:rPr>
      </w:pPr>
    </w:p>
    <w:p w14:paraId="258EB8FF" w14:textId="53A0CE0E"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4340C0">
        <w:rPr>
          <w:rFonts w:ascii="Tahoma" w:hAnsi="Tahoma" w:cs="Tahoma"/>
        </w:rPr>
        <w:t xml:space="preserve"> Dynamique positive du marché avec des résistances à passer pour replacer les unités de temps dans un environnement haussier. </w:t>
      </w:r>
      <w:r w:rsidR="00AB0A46">
        <w:rPr>
          <w:rFonts w:ascii="Tahoma" w:hAnsi="Tahoma" w:cs="Tahoma"/>
        </w:rPr>
        <w:t>Les twists</w:t>
      </w:r>
      <w:r w:rsidR="004340C0">
        <w:rPr>
          <w:rFonts w:ascii="Tahoma" w:hAnsi="Tahoma" w:cs="Tahoma"/>
        </w:rPr>
        <w:t xml:space="preserve"> du moyen terme avantagent la consolidation. Le court terme </w:t>
      </w:r>
      <w:r w:rsidR="004F52F0">
        <w:rPr>
          <w:rFonts w:ascii="Tahoma" w:hAnsi="Tahoma" w:cs="Tahoma"/>
        </w:rPr>
        <w:t xml:space="preserve">quant à lui </w:t>
      </w:r>
      <w:r w:rsidR="004340C0">
        <w:rPr>
          <w:rFonts w:ascii="Tahoma" w:hAnsi="Tahoma" w:cs="Tahoma"/>
        </w:rPr>
        <w:t xml:space="preserve">restera bien orienté s’il parvient à se maintenir </w:t>
      </w:r>
      <w:r w:rsidR="00AB0A46">
        <w:rPr>
          <w:rFonts w:ascii="Tahoma" w:hAnsi="Tahoma" w:cs="Tahoma"/>
        </w:rPr>
        <w:t>au-dessus</w:t>
      </w:r>
      <w:r w:rsidR="004340C0">
        <w:rPr>
          <w:rFonts w:ascii="Tahoma" w:hAnsi="Tahoma" w:cs="Tahoma"/>
        </w:rPr>
        <w:t xml:space="preserve"> de 132.71. </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078A"/>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767E0"/>
    <w:rsid w:val="00397D3D"/>
    <w:rsid w:val="003A609F"/>
    <w:rsid w:val="0040171B"/>
    <w:rsid w:val="004340C0"/>
    <w:rsid w:val="00467005"/>
    <w:rsid w:val="004A2D2D"/>
    <w:rsid w:val="004A5154"/>
    <w:rsid w:val="004F48EE"/>
    <w:rsid w:val="004F52F0"/>
    <w:rsid w:val="00531928"/>
    <w:rsid w:val="005440A4"/>
    <w:rsid w:val="00546A5A"/>
    <w:rsid w:val="00566580"/>
    <w:rsid w:val="00567AF3"/>
    <w:rsid w:val="00583BC8"/>
    <w:rsid w:val="00654380"/>
    <w:rsid w:val="00664BE1"/>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96554"/>
    <w:rsid w:val="008A7407"/>
    <w:rsid w:val="008F10C2"/>
    <w:rsid w:val="00902D2F"/>
    <w:rsid w:val="0094367C"/>
    <w:rsid w:val="00961FDF"/>
    <w:rsid w:val="00983B7D"/>
    <w:rsid w:val="009A37C2"/>
    <w:rsid w:val="009F3AB8"/>
    <w:rsid w:val="00A11606"/>
    <w:rsid w:val="00A6401C"/>
    <w:rsid w:val="00A81AB7"/>
    <w:rsid w:val="00AA522C"/>
    <w:rsid w:val="00AB0A46"/>
    <w:rsid w:val="00AE7F3B"/>
    <w:rsid w:val="00B04DBD"/>
    <w:rsid w:val="00B34260"/>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23B28"/>
    <w:rsid w:val="00D46C8D"/>
    <w:rsid w:val="00DA1359"/>
    <w:rsid w:val="00DE1660"/>
    <w:rsid w:val="00DE5444"/>
    <w:rsid w:val="00DF072F"/>
    <w:rsid w:val="00E32014"/>
    <w:rsid w:val="00E3727C"/>
    <w:rsid w:val="00EB58BA"/>
    <w:rsid w:val="00EE6B93"/>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TotalTime>
  <Pages>3</Pages>
  <Words>425</Words>
  <Characters>2340</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103</cp:revision>
  <dcterms:created xsi:type="dcterms:W3CDTF">2021-11-25T09:44:00Z</dcterms:created>
  <dcterms:modified xsi:type="dcterms:W3CDTF">2024-03-23T15:35:00Z</dcterms:modified>
</cp:coreProperties>
</file>