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5DFDFFE5" w14:textId="2B395375" w:rsidR="003750CB" w:rsidRPr="00041E45" w:rsidRDefault="003750CB" w:rsidP="003750CB">
      <w:pPr>
        <w:jc w:val="both"/>
        <w:rPr>
          <w:rFonts w:ascii="Tahoma" w:hAnsi="Tahoma" w:cs="Tahoma"/>
          <w:sz w:val="32"/>
          <w:szCs w:val="32"/>
          <w:u w:val="single"/>
        </w:rPr>
      </w:pPr>
      <w:r>
        <w:rPr>
          <w:rFonts w:ascii="Tahoma" w:hAnsi="Tahoma" w:cs="Tahoma"/>
          <w:sz w:val="32"/>
          <w:szCs w:val="32"/>
          <w:u w:val="single"/>
        </w:rPr>
        <w:t>Month</w:t>
      </w:r>
    </w:p>
    <w:p w14:paraId="12284DB5" w14:textId="4BA1322D" w:rsidR="003750CB" w:rsidRDefault="00F347DA" w:rsidP="003750CB">
      <w:pPr>
        <w:jc w:val="both"/>
        <w:rPr>
          <w:rFonts w:ascii="Tahoma" w:hAnsi="Tahoma" w:cs="Tahoma"/>
        </w:rPr>
      </w:pPr>
      <w:r>
        <w:rPr>
          <w:noProof/>
        </w:rPr>
        <w:drawing>
          <wp:inline distT="0" distB="0" distL="0" distR="0" wp14:anchorId="5BACD7E5" wp14:editId="5CABF349">
            <wp:extent cx="5760720" cy="4320540"/>
            <wp:effectExtent l="0" t="0" r="0" b="3810"/>
            <wp:docPr id="111230678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F39C14B" w14:textId="18A55F11" w:rsidR="003750CB" w:rsidRDefault="00F347DA" w:rsidP="003750CB">
      <w:pPr>
        <w:jc w:val="both"/>
        <w:rPr>
          <w:rFonts w:ascii="Tahoma" w:hAnsi="Tahoma" w:cs="Tahoma"/>
        </w:rPr>
      </w:pPr>
      <w:r>
        <w:rPr>
          <w:rFonts w:ascii="Tahoma" w:hAnsi="Tahoma" w:cs="Tahoma"/>
        </w:rPr>
        <w:t>Malgré les baisses du début de l’année 2024, l</w:t>
      </w:r>
      <w:r>
        <w:rPr>
          <w:rFonts w:ascii="Tahoma" w:hAnsi="Tahoma" w:cs="Tahoma"/>
        </w:rPr>
        <w:t>a hausse de la fin de l’année 2023 n’est pas encore remis</w:t>
      </w:r>
      <w:r w:rsidR="004D70F3">
        <w:rPr>
          <w:rFonts w:ascii="Tahoma" w:hAnsi="Tahoma" w:cs="Tahoma"/>
        </w:rPr>
        <w:t>e</w:t>
      </w:r>
      <w:r>
        <w:rPr>
          <w:rFonts w:ascii="Tahoma" w:hAnsi="Tahoma" w:cs="Tahoma"/>
        </w:rPr>
        <w:t xml:space="preserve"> en question</w:t>
      </w:r>
      <w:r>
        <w:rPr>
          <w:rFonts w:ascii="Tahoma" w:hAnsi="Tahoma" w:cs="Tahoma"/>
        </w:rPr>
        <w:t xml:space="preserve">. Cette hausse a pris naissance sur un plat de KS passée, ce qui lui a donné plus de </w:t>
      </w:r>
      <w:r w:rsidR="007D410E">
        <w:rPr>
          <w:rFonts w:ascii="Tahoma" w:hAnsi="Tahoma" w:cs="Tahoma"/>
        </w:rPr>
        <w:t>consistance. La remise en question d</w:t>
      </w:r>
      <w:r w:rsidR="00AF6005">
        <w:rPr>
          <w:rFonts w:ascii="Tahoma" w:hAnsi="Tahoma" w:cs="Tahoma"/>
        </w:rPr>
        <w:t>’une partie de</w:t>
      </w:r>
      <w:r w:rsidR="007D410E">
        <w:rPr>
          <w:rFonts w:ascii="Tahoma" w:hAnsi="Tahoma" w:cs="Tahoma"/>
        </w:rPr>
        <w:t xml:space="preserve"> </w:t>
      </w:r>
      <w:r w:rsidR="004D70F3">
        <w:rPr>
          <w:rFonts w:ascii="Tahoma" w:hAnsi="Tahoma" w:cs="Tahoma"/>
        </w:rPr>
        <w:t>ce mouvement</w:t>
      </w:r>
      <w:r w:rsidR="007D410E">
        <w:rPr>
          <w:rFonts w:ascii="Tahoma" w:hAnsi="Tahoma" w:cs="Tahoma"/>
        </w:rPr>
        <w:t xml:space="preserve"> devra passer par une cassure de</w:t>
      </w:r>
      <w:r w:rsidR="00AF6005">
        <w:rPr>
          <w:rFonts w:ascii="Tahoma" w:hAnsi="Tahoma" w:cs="Tahoma"/>
        </w:rPr>
        <w:t xml:space="preserve"> la base du dernier long chandelier blanc située à 132.35. Ce niveau a été testé au cours des derniers mois mais comme on </w:t>
      </w:r>
      <w:r w:rsidR="004D70F3">
        <w:rPr>
          <w:rFonts w:ascii="Tahoma" w:hAnsi="Tahoma" w:cs="Tahoma"/>
        </w:rPr>
        <w:t xml:space="preserve">peut l’observer </w:t>
      </w:r>
      <w:r w:rsidR="001C138A">
        <w:rPr>
          <w:rFonts w:ascii="Tahoma" w:hAnsi="Tahoma" w:cs="Tahoma"/>
        </w:rPr>
        <w:t xml:space="preserve">sur les dernières chandelles, ce point n'a pas été invalidé. Cela signifie que </w:t>
      </w:r>
      <w:r w:rsidR="000324A6">
        <w:rPr>
          <w:rFonts w:ascii="Tahoma" w:hAnsi="Tahoma" w:cs="Tahoma"/>
        </w:rPr>
        <w:t xml:space="preserve">les baisses </w:t>
      </w:r>
      <w:r w:rsidR="004D70F3">
        <w:rPr>
          <w:rFonts w:ascii="Tahoma" w:hAnsi="Tahoma" w:cs="Tahoma"/>
        </w:rPr>
        <w:t>sont toujours vues</w:t>
      </w:r>
      <w:r w:rsidR="000324A6">
        <w:rPr>
          <w:rFonts w:ascii="Tahoma" w:hAnsi="Tahoma" w:cs="Tahoma"/>
        </w:rPr>
        <w:t xml:space="preserve"> comme des opportunités d’achats.</w:t>
      </w:r>
      <w:r w:rsidR="003A5AEA">
        <w:rPr>
          <w:rFonts w:ascii="Tahoma" w:hAnsi="Tahoma" w:cs="Tahoma"/>
        </w:rPr>
        <w:t>0</w:t>
      </w:r>
    </w:p>
    <w:p w14:paraId="2A6B2FD8" w14:textId="4EB10838" w:rsidR="000324A6" w:rsidRDefault="000324A6" w:rsidP="003750CB">
      <w:pPr>
        <w:jc w:val="both"/>
        <w:rPr>
          <w:rFonts w:ascii="Tahoma" w:hAnsi="Tahoma" w:cs="Tahoma"/>
        </w:rPr>
      </w:pPr>
      <w:r>
        <w:rPr>
          <w:rFonts w:ascii="Tahoma" w:hAnsi="Tahoma" w:cs="Tahoma"/>
        </w:rPr>
        <w:t xml:space="preserve">Attention au dernier chandelier blanc qui forme avec le précédent une structure de poursuite de mouvement en ligne de poussée et qui traduit une certaine faiblesse du rebond </w:t>
      </w:r>
      <w:r w:rsidR="00016D53">
        <w:rPr>
          <w:rFonts w:ascii="Tahoma" w:hAnsi="Tahoma" w:cs="Tahoma"/>
        </w:rPr>
        <w:t xml:space="preserve">haussier </w:t>
      </w:r>
      <w:r w:rsidR="003A5AEA">
        <w:rPr>
          <w:rFonts w:ascii="Tahoma" w:hAnsi="Tahoma" w:cs="Tahoma"/>
        </w:rPr>
        <w:t>sur le</w:t>
      </w:r>
      <w:r>
        <w:rPr>
          <w:rFonts w:ascii="Tahoma" w:hAnsi="Tahoma" w:cs="Tahoma"/>
        </w:rPr>
        <w:t xml:space="preserve"> mois de mars</w:t>
      </w:r>
      <w:r w:rsidR="00016D53">
        <w:rPr>
          <w:rFonts w:ascii="Tahoma" w:hAnsi="Tahoma" w:cs="Tahoma"/>
        </w:rPr>
        <w:t xml:space="preserve"> avec une </w:t>
      </w:r>
      <w:r w:rsidR="001A5EF4">
        <w:rPr>
          <w:rFonts w:ascii="Tahoma" w:hAnsi="Tahoma" w:cs="Tahoma"/>
        </w:rPr>
        <w:t>clôture</w:t>
      </w:r>
      <w:r w:rsidR="00016D53">
        <w:rPr>
          <w:rFonts w:ascii="Tahoma" w:hAnsi="Tahoma" w:cs="Tahoma"/>
        </w:rPr>
        <w:t xml:space="preserve"> à 133.38. Un dépassement en avril de 133.80 rétablira </w:t>
      </w:r>
      <w:r w:rsidR="003A5AEA">
        <w:rPr>
          <w:rFonts w:ascii="Tahoma" w:hAnsi="Tahoma" w:cs="Tahoma"/>
        </w:rPr>
        <w:t>l’équilibre</w:t>
      </w:r>
      <w:r w:rsidR="00596E8E">
        <w:rPr>
          <w:rFonts w:ascii="Tahoma" w:hAnsi="Tahoma" w:cs="Tahoma"/>
        </w:rPr>
        <w:t xml:space="preserve"> et permettra d’envisager une poursuite de la hausse.</w:t>
      </w:r>
    </w:p>
    <w:p w14:paraId="31896F54" w14:textId="2E1A4506" w:rsidR="00596E8E" w:rsidRDefault="00596E8E" w:rsidP="00B41C02">
      <w:pPr>
        <w:jc w:val="both"/>
        <w:rPr>
          <w:rFonts w:ascii="Tahoma" w:hAnsi="Tahoma" w:cs="Tahoma"/>
        </w:rPr>
      </w:pPr>
      <w:r>
        <w:rPr>
          <w:rFonts w:ascii="Tahoma" w:hAnsi="Tahoma" w:cs="Tahoma"/>
        </w:rPr>
        <w:t xml:space="preserve">Le </w:t>
      </w:r>
      <w:r w:rsidR="002D7A34">
        <w:rPr>
          <w:rFonts w:ascii="Tahoma" w:hAnsi="Tahoma" w:cs="Tahoma"/>
        </w:rPr>
        <w:t xml:space="preserve">contexte est baissier sur le long terme. Le </w:t>
      </w:r>
      <w:r>
        <w:rPr>
          <w:rFonts w:ascii="Tahoma" w:hAnsi="Tahoma" w:cs="Tahoma"/>
        </w:rPr>
        <w:t xml:space="preserve">plat de TS nous indique que le marché n’est plus en mouvement. Il navigue entre 130.87 et 136.30, soit respectivement un plat de TS passée et un plat de KS passée. Il sera </w:t>
      </w:r>
      <w:r w:rsidR="001A5EF4">
        <w:rPr>
          <w:rFonts w:ascii="Tahoma" w:hAnsi="Tahoma" w:cs="Tahoma"/>
        </w:rPr>
        <w:t>nécessaire</w:t>
      </w:r>
      <w:r>
        <w:rPr>
          <w:rFonts w:ascii="Tahoma" w:hAnsi="Tahoma" w:cs="Tahoma"/>
        </w:rPr>
        <w:t xml:space="preserve"> d’attendre une rupture pour envisager un mouvement un peu plus </w:t>
      </w:r>
      <w:r w:rsidR="001A5EF4">
        <w:rPr>
          <w:rFonts w:ascii="Tahoma" w:hAnsi="Tahoma" w:cs="Tahoma"/>
        </w:rPr>
        <w:t>tendanciel</w:t>
      </w:r>
      <w:r w:rsidR="003A5AEA">
        <w:rPr>
          <w:rFonts w:ascii="Tahoma" w:hAnsi="Tahoma" w:cs="Tahoma"/>
        </w:rPr>
        <w:t xml:space="preserve"> et cela</w:t>
      </w:r>
      <w:r>
        <w:rPr>
          <w:rFonts w:ascii="Tahoma" w:hAnsi="Tahoma" w:cs="Tahoma"/>
        </w:rPr>
        <w:t xml:space="preserve"> même si le plat de TS se </w:t>
      </w:r>
      <w:r w:rsidR="001A5EF4">
        <w:rPr>
          <w:rFonts w:ascii="Tahoma" w:hAnsi="Tahoma" w:cs="Tahoma"/>
        </w:rPr>
        <w:t>prolongera</w:t>
      </w:r>
      <w:r>
        <w:rPr>
          <w:rFonts w:ascii="Tahoma" w:hAnsi="Tahoma" w:cs="Tahoma"/>
        </w:rPr>
        <w:t xml:space="preserve"> tant que les prix évolueront entre le bas et le haut récent de 126.74 et de 138.46.</w:t>
      </w:r>
    </w:p>
    <w:p w14:paraId="10285534" w14:textId="2DA0D901" w:rsidR="003750CB" w:rsidRDefault="003750CB" w:rsidP="00B41C02">
      <w:pPr>
        <w:jc w:val="both"/>
        <w:rPr>
          <w:rFonts w:ascii="Tahoma" w:hAnsi="Tahoma" w:cs="Tahoma"/>
          <w:sz w:val="32"/>
          <w:szCs w:val="32"/>
          <w:u w:val="single"/>
        </w:rPr>
      </w:pPr>
    </w:p>
    <w:p w14:paraId="6A0F7EC2" w14:textId="3F2F2EEF"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lastRenderedPageBreak/>
        <w:t>Week</w:t>
      </w:r>
    </w:p>
    <w:p w14:paraId="2862B446" w14:textId="257CB131" w:rsidR="00902D2F" w:rsidRDefault="008E1AB8" w:rsidP="00B41C02">
      <w:pPr>
        <w:jc w:val="both"/>
        <w:rPr>
          <w:rFonts w:ascii="Tahoma" w:hAnsi="Tahoma" w:cs="Tahoma"/>
        </w:rPr>
      </w:pPr>
      <w:r>
        <w:rPr>
          <w:noProof/>
        </w:rPr>
        <w:drawing>
          <wp:inline distT="0" distB="0" distL="0" distR="0" wp14:anchorId="15FCA6ED" wp14:editId="2A07E6EF">
            <wp:extent cx="5760720" cy="4320540"/>
            <wp:effectExtent l="0" t="0" r="0" b="3810"/>
            <wp:docPr id="46109504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45020C88" w:rsidR="00DF072F" w:rsidRDefault="00041E45" w:rsidP="00B41C02">
      <w:pPr>
        <w:jc w:val="both"/>
        <w:rPr>
          <w:rFonts w:ascii="Tahoma" w:hAnsi="Tahoma" w:cs="Tahoma"/>
        </w:rPr>
      </w:pPr>
      <w:r>
        <w:rPr>
          <w:rFonts w:ascii="Tahoma" w:hAnsi="Tahoma" w:cs="Tahoma"/>
        </w:rPr>
        <w:t>L</w:t>
      </w:r>
      <w:r w:rsidR="002D7A34">
        <w:rPr>
          <w:rFonts w:ascii="Tahoma" w:hAnsi="Tahoma" w:cs="Tahoma"/>
        </w:rPr>
        <w:t xml:space="preserve">e twist </w:t>
      </w:r>
      <w:r w:rsidR="001A5EF4">
        <w:rPr>
          <w:rFonts w:ascii="Tahoma" w:hAnsi="Tahoma" w:cs="Tahoma"/>
        </w:rPr>
        <w:t>du nuage futur</w:t>
      </w:r>
      <w:r w:rsidR="002D7A34">
        <w:rPr>
          <w:rFonts w:ascii="Tahoma" w:hAnsi="Tahoma" w:cs="Tahoma"/>
        </w:rPr>
        <w:t xml:space="preserve"> nous indique que le mouvement de baisse de moyen terme est </w:t>
      </w:r>
      <w:r w:rsidR="00E818E7">
        <w:rPr>
          <w:rFonts w:ascii="Tahoma" w:hAnsi="Tahoma" w:cs="Tahoma"/>
        </w:rPr>
        <w:t xml:space="preserve">très probablement </w:t>
      </w:r>
      <w:r w:rsidR="002D7A34">
        <w:rPr>
          <w:rFonts w:ascii="Tahoma" w:hAnsi="Tahoma" w:cs="Tahoma"/>
        </w:rPr>
        <w:t>terminé et qu’une hausse ou une consolidation des prix peu</w:t>
      </w:r>
      <w:r w:rsidR="00E818E7">
        <w:rPr>
          <w:rFonts w:ascii="Tahoma" w:hAnsi="Tahoma" w:cs="Tahoma"/>
        </w:rPr>
        <w:t>ven</w:t>
      </w:r>
      <w:r w:rsidR="002D7A34">
        <w:rPr>
          <w:rFonts w:ascii="Tahoma" w:hAnsi="Tahoma" w:cs="Tahoma"/>
        </w:rPr>
        <w:t xml:space="preserve">t maintenant </w:t>
      </w:r>
      <w:r w:rsidR="00877FE4">
        <w:rPr>
          <w:rFonts w:ascii="Tahoma" w:hAnsi="Tahoma" w:cs="Tahoma"/>
        </w:rPr>
        <w:t>prendre forme</w:t>
      </w:r>
      <w:r w:rsidR="002D7A34">
        <w:rPr>
          <w:rFonts w:ascii="Tahoma" w:hAnsi="Tahoma" w:cs="Tahoma"/>
        </w:rPr>
        <w:t>.</w:t>
      </w:r>
    </w:p>
    <w:p w14:paraId="374D1F17" w14:textId="62A29219" w:rsidR="00583BC8" w:rsidRDefault="00E818E7" w:rsidP="00B41C02">
      <w:pPr>
        <w:jc w:val="both"/>
        <w:rPr>
          <w:rFonts w:ascii="Tahoma" w:hAnsi="Tahoma" w:cs="Tahoma"/>
        </w:rPr>
      </w:pPr>
      <w:r>
        <w:rPr>
          <w:rFonts w:ascii="Tahoma" w:hAnsi="Tahoma" w:cs="Tahoma"/>
        </w:rPr>
        <w:t>Le contrat n’est pas</w:t>
      </w:r>
      <w:r w:rsidR="00CE19D9">
        <w:rPr>
          <w:rFonts w:ascii="Tahoma" w:hAnsi="Tahoma" w:cs="Tahoma"/>
        </w:rPr>
        <w:t xml:space="preserve"> encore</w:t>
      </w:r>
      <w:r>
        <w:rPr>
          <w:rFonts w:ascii="Tahoma" w:hAnsi="Tahoma" w:cs="Tahoma"/>
        </w:rPr>
        <w:t xml:space="preserve"> parvenu à s’affranchir de son nuage. Ce dépassement pourra être le premier indicateur </w:t>
      </w:r>
      <w:r w:rsidR="00A66F33">
        <w:rPr>
          <w:rFonts w:ascii="Tahoma" w:hAnsi="Tahoma" w:cs="Tahoma"/>
        </w:rPr>
        <w:t xml:space="preserve">d’une hausse future des prix </w:t>
      </w:r>
      <w:r w:rsidR="000C0379">
        <w:rPr>
          <w:rFonts w:ascii="Tahoma" w:hAnsi="Tahoma" w:cs="Tahoma"/>
        </w:rPr>
        <w:t>et d’un retour des cours sur l</w:t>
      </w:r>
      <w:r w:rsidR="00CE19D9">
        <w:rPr>
          <w:rFonts w:ascii="Tahoma" w:hAnsi="Tahoma" w:cs="Tahoma"/>
        </w:rPr>
        <w:t>a</w:t>
      </w:r>
      <w:r w:rsidR="000C0379">
        <w:rPr>
          <w:rFonts w:ascii="Tahoma" w:hAnsi="Tahoma" w:cs="Tahoma"/>
        </w:rPr>
        <w:t xml:space="preserve"> borne</w:t>
      </w:r>
      <w:r w:rsidR="00CE19D9">
        <w:rPr>
          <w:rFonts w:ascii="Tahoma" w:hAnsi="Tahoma" w:cs="Tahoma"/>
        </w:rPr>
        <w:t xml:space="preserve"> basse</w:t>
      </w:r>
      <w:r w:rsidR="000C0379">
        <w:rPr>
          <w:rFonts w:ascii="Tahoma" w:hAnsi="Tahoma" w:cs="Tahoma"/>
        </w:rPr>
        <w:t xml:space="preserve"> du nuage de long terme. Mais cela </w:t>
      </w:r>
      <w:r w:rsidR="00CE19D9">
        <w:rPr>
          <w:rFonts w:ascii="Tahoma" w:hAnsi="Tahoma" w:cs="Tahoma"/>
        </w:rPr>
        <w:t>se</w:t>
      </w:r>
      <w:r w:rsidR="00CA2F53">
        <w:rPr>
          <w:rFonts w:ascii="Tahoma" w:hAnsi="Tahoma" w:cs="Tahoma"/>
        </w:rPr>
        <w:t>ra</w:t>
      </w:r>
      <w:r w:rsidR="00CE19D9">
        <w:rPr>
          <w:rFonts w:ascii="Tahoma" w:hAnsi="Tahoma" w:cs="Tahoma"/>
        </w:rPr>
        <w:t xml:space="preserve"> possible </w:t>
      </w:r>
      <w:r w:rsidR="003E70D8">
        <w:rPr>
          <w:rFonts w:ascii="Tahoma" w:hAnsi="Tahoma" w:cs="Tahoma"/>
        </w:rPr>
        <w:t>que si</w:t>
      </w:r>
      <w:r w:rsidR="00A66F33">
        <w:rPr>
          <w:rFonts w:ascii="Tahoma" w:hAnsi="Tahoma" w:cs="Tahoma"/>
        </w:rPr>
        <w:t xml:space="preserve"> la LS en </w:t>
      </w:r>
      <w:r w:rsidR="003E70D8">
        <w:rPr>
          <w:rFonts w:ascii="Tahoma" w:hAnsi="Tahoma" w:cs="Tahoma"/>
        </w:rPr>
        <w:t>fait</w:t>
      </w:r>
      <w:r w:rsidR="00A66F33">
        <w:rPr>
          <w:rFonts w:ascii="Tahoma" w:hAnsi="Tahoma" w:cs="Tahoma"/>
        </w:rPr>
        <w:t xml:space="preserve"> de même en cassure de la zone des 14</w:t>
      </w:r>
      <w:r w:rsidR="00A34498">
        <w:rPr>
          <w:rFonts w:ascii="Tahoma" w:hAnsi="Tahoma" w:cs="Tahoma"/>
        </w:rPr>
        <w:t>1.55.</w:t>
      </w:r>
    </w:p>
    <w:p w14:paraId="4A40C9D7" w14:textId="33C6511B" w:rsidR="000C0379" w:rsidRDefault="000C0379" w:rsidP="00B41C02">
      <w:pPr>
        <w:jc w:val="both"/>
        <w:rPr>
          <w:rFonts w:ascii="Tahoma" w:hAnsi="Tahoma" w:cs="Tahoma"/>
        </w:rPr>
      </w:pPr>
      <w:r>
        <w:rPr>
          <w:rFonts w:ascii="Tahoma" w:hAnsi="Tahoma" w:cs="Tahoma"/>
        </w:rPr>
        <w:t xml:space="preserve">La dernière chandelle hebdomadaire reprend </w:t>
      </w:r>
      <w:r w:rsidR="001A5EF4">
        <w:rPr>
          <w:rFonts w:ascii="Tahoma" w:hAnsi="Tahoma" w:cs="Tahoma"/>
        </w:rPr>
        <w:t>certaines caractéristiques</w:t>
      </w:r>
      <w:r>
        <w:rPr>
          <w:rFonts w:ascii="Tahoma" w:hAnsi="Tahoma" w:cs="Tahoma"/>
        </w:rPr>
        <w:t xml:space="preserve"> du pendu mais sa position ne permet pas de dire que c’est un pendu. Pour autant j’utiliserai sa base comme </w:t>
      </w:r>
      <w:r w:rsidR="00060663">
        <w:rPr>
          <w:rFonts w:ascii="Tahoma" w:hAnsi="Tahoma" w:cs="Tahoma"/>
        </w:rPr>
        <w:t xml:space="preserve">support </w:t>
      </w:r>
      <w:r w:rsidR="001A5EF4">
        <w:rPr>
          <w:rFonts w:ascii="Tahoma" w:hAnsi="Tahoma" w:cs="Tahoma"/>
        </w:rPr>
        <w:t>au-dessus</w:t>
      </w:r>
      <w:r w:rsidR="00060663">
        <w:rPr>
          <w:rFonts w:ascii="Tahoma" w:hAnsi="Tahoma" w:cs="Tahoma"/>
        </w:rPr>
        <w:t xml:space="preserve"> </w:t>
      </w:r>
      <w:r w:rsidR="001A5EF4">
        <w:rPr>
          <w:rFonts w:ascii="Tahoma" w:hAnsi="Tahoma" w:cs="Tahoma"/>
        </w:rPr>
        <w:t>de la</w:t>
      </w:r>
      <w:r w:rsidR="00060663">
        <w:rPr>
          <w:rFonts w:ascii="Tahoma" w:hAnsi="Tahoma" w:cs="Tahoma"/>
        </w:rPr>
        <w:t>quel</w:t>
      </w:r>
      <w:r w:rsidR="001A5EF4">
        <w:rPr>
          <w:rFonts w:ascii="Tahoma" w:hAnsi="Tahoma" w:cs="Tahoma"/>
        </w:rPr>
        <w:t>le</w:t>
      </w:r>
      <w:r w:rsidR="00060663">
        <w:rPr>
          <w:rFonts w:ascii="Tahoma" w:hAnsi="Tahoma" w:cs="Tahoma"/>
        </w:rPr>
        <w:t xml:space="preserve"> une poursuite du rebond sera envisagé. Cette base se situe sur 132.52. Pas de déclenchement de stops vendeurs </w:t>
      </w:r>
      <w:r w:rsidR="001A5EF4">
        <w:rPr>
          <w:rFonts w:ascii="Tahoma" w:hAnsi="Tahoma" w:cs="Tahoma"/>
        </w:rPr>
        <w:t>au-dessus</w:t>
      </w:r>
      <w:r w:rsidR="00060663">
        <w:rPr>
          <w:rFonts w:ascii="Tahoma" w:hAnsi="Tahoma" w:cs="Tahoma"/>
        </w:rPr>
        <w:t xml:space="preserve"> de ce point. Ce point </w:t>
      </w:r>
      <w:r w:rsidR="003E7272">
        <w:rPr>
          <w:rFonts w:ascii="Tahoma" w:hAnsi="Tahoma" w:cs="Tahoma"/>
        </w:rPr>
        <w:t xml:space="preserve">forme une zone avec le </w:t>
      </w:r>
      <w:r w:rsidR="00060663">
        <w:rPr>
          <w:rFonts w:ascii="Tahoma" w:hAnsi="Tahoma" w:cs="Tahoma"/>
        </w:rPr>
        <w:t xml:space="preserve">plat de KS </w:t>
      </w:r>
      <w:r w:rsidR="003E7272">
        <w:rPr>
          <w:rFonts w:ascii="Tahoma" w:hAnsi="Tahoma" w:cs="Tahoma"/>
        </w:rPr>
        <w:t>sur</w:t>
      </w:r>
      <w:r w:rsidR="00060663">
        <w:rPr>
          <w:rFonts w:ascii="Tahoma" w:hAnsi="Tahoma" w:cs="Tahoma"/>
        </w:rPr>
        <w:t xml:space="preserve"> 132.60</w:t>
      </w:r>
      <w:r w:rsidR="00817969">
        <w:rPr>
          <w:rFonts w:ascii="Tahoma" w:hAnsi="Tahoma" w:cs="Tahoma"/>
        </w:rPr>
        <w:t xml:space="preserve"> qui pourra </w:t>
      </w:r>
      <w:r w:rsidR="003E7272">
        <w:rPr>
          <w:rFonts w:ascii="Tahoma" w:hAnsi="Tahoma" w:cs="Tahoma"/>
        </w:rPr>
        <w:t xml:space="preserve">quant à lui </w:t>
      </w:r>
      <w:r w:rsidR="001A5EF4">
        <w:rPr>
          <w:rFonts w:ascii="Tahoma" w:hAnsi="Tahoma" w:cs="Tahoma"/>
        </w:rPr>
        <w:t>être</w:t>
      </w:r>
      <w:r w:rsidR="00817969">
        <w:rPr>
          <w:rFonts w:ascii="Tahoma" w:hAnsi="Tahoma" w:cs="Tahoma"/>
        </w:rPr>
        <w:t xml:space="preserve"> utilisé comme support ou pivot au cours des prochaines semaines.</w:t>
      </w:r>
    </w:p>
    <w:p w14:paraId="3C3DA3E9" w14:textId="0EB828D5" w:rsidR="00797ED1" w:rsidRDefault="00797ED1" w:rsidP="00B41C02">
      <w:pPr>
        <w:jc w:val="both"/>
        <w:rPr>
          <w:rFonts w:ascii="Tahoma" w:hAnsi="Tahoma" w:cs="Tahoma"/>
        </w:rPr>
      </w:pPr>
      <w:r>
        <w:rPr>
          <w:rFonts w:ascii="Tahoma" w:hAnsi="Tahoma" w:cs="Tahoma"/>
        </w:rPr>
        <w:t>Deux résistances importantes pour cette semaine : le plat de SSB de 133.64 qui permettra aux prix de sortir de son nuage et 134.41</w:t>
      </w:r>
      <w:r w:rsidR="00A75BFD">
        <w:rPr>
          <w:rFonts w:ascii="Tahoma" w:hAnsi="Tahoma" w:cs="Tahoma"/>
        </w:rPr>
        <w:t xml:space="preserve"> qui représente la borne basse du nuage de la LS.</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710BA38C" w14:textId="7303984E" w:rsidR="00163C46" w:rsidRDefault="008E1AB8" w:rsidP="00263ED0">
      <w:pPr>
        <w:jc w:val="both"/>
        <w:rPr>
          <w:rFonts w:ascii="Tahoma" w:hAnsi="Tahoma" w:cs="Tahoma"/>
        </w:rPr>
      </w:pPr>
      <w:r>
        <w:rPr>
          <w:noProof/>
        </w:rPr>
        <w:lastRenderedPageBreak/>
        <w:drawing>
          <wp:inline distT="0" distB="0" distL="0" distR="0" wp14:anchorId="634AD921" wp14:editId="2B0FECF9">
            <wp:extent cx="5760720" cy="3992880"/>
            <wp:effectExtent l="0" t="0" r="0" b="7620"/>
            <wp:docPr id="19379525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992880"/>
                    </a:xfrm>
                    <a:prstGeom prst="rect">
                      <a:avLst/>
                    </a:prstGeom>
                    <a:noFill/>
                    <a:ln>
                      <a:noFill/>
                    </a:ln>
                  </pic:spPr>
                </pic:pic>
              </a:graphicData>
            </a:graphic>
          </wp:inline>
        </w:drawing>
      </w:r>
    </w:p>
    <w:p w14:paraId="67B8B186" w14:textId="2E7C6766" w:rsidR="00467005" w:rsidRDefault="004A2D2D" w:rsidP="00041E45">
      <w:pPr>
        <w:jc w:val="both"/>
        <w:rPr>
          <w:rFonts w:ascii="Tahoma" w:hAnsi="Tahoma" w:cs="Tahoma"/>
        </w:rPr>
      </w:pPr>
      <w:r>
        <w:rPr>
          <w:rFonts w:ascii="Tahoma" w:hAnsi="Tahoma" w:cs="Tahoma"/>
        </w:rPr>
        <w:t>S</w:t>
      </w:r>
      <w:r w:rsidR="00B53C0D">
        <w:rPr>
          <w:rFonts w:ascii="Tahoma" w:hAnsi="Tahoma" w:cs="Tahoma"/>
        </w:rPr>
        <w:t xml:space="preserve">ur le court terme, la dernière chandelle peut </w:t>
      </w:r>
      <w:r w:rsidR="001A5EF4">
        <w:rPr>
          <w:rFonts w:ascii="Tahoma" w:hAnsi="Tahoma" w:cs="Tahoma"/>
        </w:rPr>
        <w:t>être</w:t>
      </w:r>
      <w:r w:rsidR="00B53C0D">
        <w:rPr>
          <w:rFonts w:ascii="Tahoma" w:hAnsi="Tahoma" w:cs="Tahoma"/>
        </w:rPr>
        <w:t xml:space="preserve"> interprétée comme un pendu qui se classe dans les alertes.</w:t>
      </w:r>
    </w:p>
    <w:p w14:paraId="3F247820" w14:textId="16201839" w:rsidR="00B53C0D" w:rsidRDefault="00B53C0D" w:rsidP="00041E45">
      <w:pPr>
        <w:jc w:val="both"/>
        <w:rPr>
          <w:rFonts w:ascii="Tahoma" w:hAnsi="Tahoma" w:cs="Tahoma"/>
        </w:rPr>
      </w:pPr>
      <w:r>
        <w:rPr>
          <w:rFonts w:ascii="Tahoma" w:hAnsi="Tahoma" w:cs="Tahoma"/>
        </w:rPr>
        <w:t xml:space="preserve">Cela signifie que la poursuite de la hausse </w:t>
      </w:r>
      <w:r w:rsidR="003E70D8">
        <w:rPr>
          <w:rFonts w:ascii="Tahoma" w:hAnsi="Tahoma" w:cs="Tahoma"/>
        </w:rPr>
        <w:t xml:space="preserve">sur cette unité de temps, </w:t>
      </w:r>
      <w:r>
        <w:rPr>
          <w:rFonts w:ascii="Tahoma" w:hAnsi="Tahoma" w:cs="Tahoma"/>
        </w:rPr>
        <w:t xml:space="preserve">restera conditionnée par un maintien du marché </w:t>
      </w:r>
      <w:r w:rsidR="001A5EF4">
        <w:rPr>
          <w:rFonts w:ascii="Tahoma" w:hAnsi="Tahoma" w:cs="Tahoma"/>
        </w:rPr>
        <w:t>au-dessus</w:t>
      </w:r>
      <w:r>
        <w:rPr>
          <w:rFonts w:ascii="Tahoma" w:hAnsi="Tahoma" w:cs="Tahoma"/>
        </w:rPr>
        <w:t xml:space="preserve"> de 132.96.</w:t>
      </w:r>
    </w:p>
    <w:p w14:paraId="1F2E9E80" w14:textId="4D1C0884" w:rsidR="00B53C0D" w:rsidRDefault="00C915A3" w:rsidP="00041E45">
      <w:pPr>
        <w:jc w:val="both"/>
        <w:rPr>
          <w:rFonts w:ascii="Tahoma" w:hAnsi="Tahoma" w:cs="Tahoma"/>
        </w:rPr>
      </w:pPr>
      <w:r>
        <w:rPr>
          <w:rFonts w:ascii="Tahoma" w:hAnsi="Tahoma" w:cs="Tahoma"/>
        </w:rPr>
        <w:t xml:space="preserve">Les haussiers dominent les échanges depuis le bas récent de 131.54. </w:t>
      </w:r>
      <w:r w:rsidR="00B53C0D">
        <w:rPr>
          <w:rFonts w:ascii="Tahoma" w:hAnsi="Tahoma" w:cs="Tahoma"/>
        </w:rPr>
        <w:t xml:space="preserve">Une semaine d’hésitation passera par un retour du contrat sur 132.69, matérialisé par un plat de KS. </w:t>
      </w:r>
    </w:p>
    <w:p w14:paraId="10BB9766" w14:textId="081AAF4A" w:rsidR="00723F77" w:rsidRDefault="00B53C0D" w:rsidP="00041E45">
      <w:pPr>
        <w:jc w:val="both"/>
        <w:rPr>
          <w:rFonts w:ascii="Tahoma" w:hAnsi="Tahoma" w:cs="Tahoma"/>
        </w:rPr>
      </w:pPr>
      <w:r>
        <w:rPr>
          <w:rFonts w:ascii="Tahoma" w:hAnsi="Tahoma" w:cs="Tahoma"/>
        </w:rPr>
        <w:t xml:space="preserve">Le nuage </w:t>
      </w:r>
      <w:r w:rsidR="001A5EF4">
        <w:rPr>
          <w:rFonts w:ascii="Tahoma" w:hAnsi="Tahoma" w:cs="Tahoma"/>
        </w:rPr>
        <w:t>représente</w:t>
      </w:r>
      <w:r>
        <w:rPr>
          <w:rFonts w:ascii="Tahoma" w:hAnsi="Tahoma" w:cs="Tahoma"/>
        </w:rPr>
        <w:t xml:space="preserve"> une zone de résistance qui pourra être franchie si les cours parviennent à prendre position </w:t>
      </w:r>
      <w:r w:rsidR="001A5EF4">
        <w:rPr>
          <w:rFonts w:ascii="Tahoma" w:hAnsi="Tahoma" w:cs="Tahoma"/>
        </w:rPr>
        <w:t>au-dessus</w:t>
      </w:r>
      <w:r>
        <w:rPr>
          <w:rFonts w:ascii="Tahoma" w:hAnsi="Tahoma" w:cs="Tahoma"/>
        </w:rPr>
        <w:t xml:space="preserve"> du plat de SSB future de 133.57.</w:t>
      </w:r>
    </w:p>
    <w:p w14:paraId="2E698523" w14:textId="77777777" w:rsidR="00B53C0D" w:rsidRDefault="00B53C0D" w:rsidP="00041E45">
      <w:pPr>
        <w:jc w:val="both"/>
        <w:rPr>
          <w:rFonts w:ascii="Tahoma" w:hAnsi="Tahoma" w:cs="Tahoma"/>
        </w:rPr>
      </w:pPr>
    </w:p>
    <w:p w14:paraId="2E975A96" w14:textId="3FE8FB16"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657E22">
        <w:rPr>
          <w:rFonts w:ascii="Tahoma" w:hAnsi="Tahoma" w:cs="Tahoma"/>
        </w:rPr>
        <w:t xml:space="preserve"> </w:t>
      </w:r>
      <w:r w:rsidR="00A85BC7">
        <w:rPr>
          <w:rFonts w:ascii="Tahoma" w:hAnsi="Tahoma" w:cs="Tahoma"/>
        </w:rPr>
        <w:t>J</w:t>
      </w:r>
      <w:r w:rsidR="00657E22">
        <w:rPr>
          <w:rFonts w:ascii="Tahoma" w:hAnsi="Tahoma" w:cs="Tahoma"/>
        </w:rPr>
        <w:t xml:space="preserve">e reste positif sur le </w:t>
      </w:r>
      <w:r w:rsidR="001A5EF4">
        <w:rPr>
          <w:rFonts w:ascii="Tahoma" w:hAnsi="Tahoma" w:cs="Tahoma"/>
        </w:rPr>
        <w:t>contrat</w:t>
      </w:r>
      <w:r w:rsidR="00657E22">
        <w:rPr>
          <w:rFonts w:ascii="Tahoma" w:hAnsi="Tahoma" w:cs="Tahoma"/>
        </w:rPr>
        <w:t xml:space="preserve"> Bund pour plusieurs raisons. La première est que la structure </w:t>
      </w:r>
      <w:r w:rsidR="001840C8">
        <w:rPr>
          <w:rFonts w:ascii="Tahoma" w:hAnsi="Tahoma" w:cs="Tahoma"/>
        </w:rPr>
        <w:t xml:space="preserve">haussière </w:t>
      </w:r>
      <w:r w:rsidR="00657E22">
        <w:rPr>
          <w:rFonts w:ascii="Tahoma" w:hAnsi="Tahoma" w:cs="Tahoma"/>
        </w:rPr>
        <w:t>en étoile du matin sur le long terme n’a pas été remis</w:t>
      </w:r>
      <w:r w:rsidR="00A85BC7">
        <w:rPr>
          <w:rFonts w:ascii="Tahoma" w:hAnsi="Tahoma" w:cs="Tahoma"/>
        </w:rPr>
        <w:t>e</w:t>
      </w:r>
      <w:r w:rsidR="00657E22">
        <w:rPr>
          <w:rFonts w:ascii="Tahoma" w:hAnsi="Tahoma" w:cs="Tahoma"/>
        </w:rPr>
        <w:t xml:space="preserve"> en question.</w:t>
      </w:r>
      <w:r w:rsidR="001840C8">
        <w:rPr>
          <w:rFonts w:ascii="Tahoma" w:hAnsi="Tahoma" w:cs="Tahoma"/>
        </w:rPr>
        <w:t xml:space="preserve"> La baisse des prix limitée sur 132.35 montre que les acheteurs n’ont pas encore remis en cause la hausse par des ventes de protection. La seconde se base sur le twist de moyen terme qui permet d’écarter la baisse </w:t>
      </w:r>
      <w:r w:rsidR="00A85BC7">
        <w:rPr>
          <w:rFonts w:ascii="Tahoma" w:hAnsi="Tahoma" w:cs="Tahoma"/>
        </w:rPr>
        <w:t xml:space="preserve">et cela </w:t>
      </w:r>
      <w:r w:rsidR="001840C8">
        <w:rPr>
          <w:rFonts w:ascii="Tahoma" w:hAnsi="Tahoma" w:cs="Tahoma"/>
        </w:rPr>
        <w:t xml:space="preserve">tant que le contrat évoluera </w:t>
      </w:r>
      <w:r w:rsidR="001A5EF4">
        <w:rPr>
          <w:rFonts w:ascii="Tahoma" w:hAnsi="Tahoma" w:cs="Tahoma"/>
        </w:rPr>
        <w:t>au-dessus</w:t>
      </w:r>
      <w:r w:rsidR="001840C8">
        <w:rPr>
          <w:rFonts w:ascii="Tahoma" w:hAnsi="Tahoma" w:cs="Tahoma"/>
        </w:rPr>
        <w:t xml:space="preserve"> de 126.74. Même si la hausse n’est pas encore acquise sur cette unité de temps, </w:t>
      </w:r>
      <w:r w:rsidR="00903E41">
        <w:rPr>
          <w:rFonts w:ascii="Tahoma" w:hAnsi="Tahoma" w:cs="Tahoma"/>
        </w:rPr>
        <w:t>les dernières semaines montrent que les baissiers ne parviennent pas à reprendre l’avantage. Il faudra pourtant attendre le dépassement de 133.64 pour envisager une hausse plus étendue. Enfin sur le court terme, depuis le rebond sur 131.54, l’enchainement de bougie</w:t>
      </w:r>
      <w:r w:rsidR="00A85BC7">
        <w:rPr>
          <w:rFonts w:ascii="Tahoma" w:hAnsi="Tahoma" w:cs="Tahoma"/>
        </w:rPr>
        <w:t>s</w:t>
      </w:r>
      <w:r w:rsidR="00903E41">
        <w:rPr>
          <w:rFonts w:ascii="Tahoma" w:hAnsi="Tahoma" w:cs="Tahoma"/>
        </w:rPr>
        <w:t xml:space="preserve"> blanche</w:t>
      </w:r>
      <w:r w:rsidR="00A85BC7">
        <w:rPr>
          <w:rFonts w:ascii="Tahoma" w:hAnsi="Tahoma" w:cs="Tahoma"/>
        </w:rPr>
        <w:t>s</w:t>
      </w:r>
      <w:r w:rsidR="00903E41">
        <w:rPr>
          <w:rFonts w:ascii="Tahoma" w:hAnsi="Tahoma" w:cs="Tahoma"/>
        </w:rPr>
        <w:t xml:space="preserve"> montre que les acheteurs dominent les échanges</w:t>
      </w:r>
      <w:r w:rsidR="00C671D9">
        <w:rPr>
          <w:rFonts w:ascii="Tahoma" w:hAnsi="Tahoma" w:cs="Tahoma"/>
        </w:rPr>
        <w:t xml:space="preserve"> même si parfois ils manquent de conviction.</w:t>
      </w:r>
    </w:p>
    <w:p w14:paraId="764BCACE" w14:textId="77777777" w:rsidR="00C671D9" w:rsidRDefault="00C671D9"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4409A40" w14:textId="5DEC3DFA"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6D53"/>
    <w:rsid w:val="0002580A"/>
    <w:rsid w:val="000324A6"/>
    <w:rsid w:val="00041E45"/>
    <w:rsid w:val="000524C5"/>
    <w:rsid w:val="000556C3"/>
    <w:rsid w:val="00060663"/>
    <w:rsid w:val="000833FB"/>
    <w:rsid w:val="00092058"/>
    <w:rsid w:val="000938CC"/>
    <w:rsid w:val="000B221E"/>
    <w:rsid w:val="000B7DFC"/>
    <w:rsid w:val="000C0379"/>
    <w:rsid w:val="000C0DE4"/>
    <w:rsid w:val="000D4ED3"/>
    <w:rsid w:val="001018AD"/>
    <w:rsid w:val="00103ED4"/>
    <w:rsid w:val="00105B4E"/>
    <w:rsid w:val="00134AFA"/>
    <w:rsid w:val="00135766"/>
    <w:rsid w:val="0014687D"/>
    <w:rsid w:val="0015581D"/>
    <w:rsid w:val="00163C46"/>
    <w:rsid w:val="001705F4"/>
    <w:rsid w:val="001840C8"/>
    <w:rsid w:val="00190995"/>
    <w:rsid w:val="001A4796"/>
    <w:rsid w:val="001A5EF4"/>
    <w:rsid w:val="001C138A"/>
    <w:rsid w:val="001D474B"/>
    <w:rsid w:val="001F650A"/>
    <w:rsid w:val="002003AD"/>
    <w:rsid w:val="002421FE"/>
    <w:rsid w:val="00262E25"/>
    <w:rsid w:val="00263ED0"/>
    <w:rsid w:val="002A1F8E"/>
    <w:rsid w:val="002B5CB1"/>
    <w:rsid w:val="002C0A31"/>
    <w:rsid w:val="002D7A34"/>
    <w:rsid w:val="002F54B0"/>
    <w:rsid w:val="00303214"/>
    <w:rsid w:val="0030643B"/>
    <w:rsid w:val="00337611"/>
    <w:rsid w:val="00340FD9"/>
    <w:rsid w:val="00352DD9"/>
    <w:rsid w:val="003750CB"/>
    <w:rsid w:val="003767E0"/>
    <w:rsid w:val="00397D3D"/>
    <w:rsid w:val="003A5AEA"/>
    <w:rsid w:val="003E70D8"/>
    <w:rsid w:val="003E7272"/>
    <w:rsid w:val="0040171B"/>
    <w:rsid w:val="00467005"/>
    <w:rsid w:val="004A2D2D"/>
    <w:rsid w:val="004A5154"/>
    <w:rsid w:val="004D70F3"/>
    <w:rsid w:val="004F48EE"/>
    <w:rsid w:val="005164CA"/>
    <w:rsid w:val="00531928"/>
    <w:rsid w:val="005440A4"/>
    <w:rsid w:val="00546A5A"/>
    <w:rsid w:val="00566580"/>
    <w:rsid w:val="00567AF3"/>
    <w:rsid w:val="00583BC8"/>
    <w:rsid w:val="00596E8E"/>
    <w:rsid w:val="00654380"/>
    <w:rsid w:val="00657E22"/>
    <w:rsid w:val="00664BE1"/>
    <w:rsid w:val="006B055C"/>
    <w:rsid w:val="006E32BB"/>
    <w:rsid w:val="006E38E0"/>
    <w:rsid w:val="00710599"/>
    <w:rsid w:val="00723F77"/>
    <w:rsid w:val="00744696"/>
    <w:rsid w:val="00772067"/>
    <w:rsid w:val="0077545D"/>
    <w:rsid w:val="00797ED1"/>
    <w:rsid w:val="007A0A4B"/>
    <w:rsid w:val="007A0E6C"/>
    <w:rsid w:val="007B1237"/>
    <w:rsid w:val="007B661D"/>
    <w:rsid w:val="007D19FF"/>
    <w:rsid w:val="007D2085"/>
    <w:rsid w:val="007D410E"/>
    <w:rsid w:val="007D4181"/>
    <w:rsid w:val="00817969"/>
    <w:rsid w:val="0083454A"/>
    <w:rsid w:val="00837B38"/>
    <w:rsid w:val="00877FE4"/>
    <w:rsid w:val="00896554"/>
    <w:rsid w:val="008A7407"/>
    <w:rsid w:val="008E1AB8"/>
    <w:rsid w:val="008F10C2"/>
    <w:rsid w:val="00902D2F"/>
    <w:rsid w:val="00903E41"/>
    <w:rsid w:val="00961FDF"/>
    <w:rsid w:val="00983B7D"/>
    <w:rsid w:val="009A37C2"/>
    <w:rsid w:val="009F3AB8"/>
    <w:rsid w:val="00A11606"/>
    <w:rsid w:val="00A34498"/>
    <w:rsid w:val="00A6401C"/>
    <w:rsid w:val="00A66F33"/>
    <w:rsid w:val="00A75BFD"/>
    <w:rsid w:val="00A81AB7"/>
    <w:rsid w:val="00A85BC7"/>
    <w:rsid w:val="00AA522C"/>
    <w:rsid w:val="00AD3AF9"/>
    <w:rsid w:val="00AE7F3B"/>
    <w:rsid w:val="00AF6005"/>
    <w:rsid w:val="00B34260"/>
    <w:rsid w:val="00B41C02"/>
    <w:rsid w:val="00B4335A"/>
    <w:rsid w:val="00B50E38"/>
    <w:rsid w:val="00B53C0D"/>
    <w:rsid w:val="00B554B8"/>
    <w:rsid w:val="00B64EE0"/>
    <w:rsid w:val="00B94D71"/>
    <w:rsid w:val="00BB0E32"/>
    <w:rsid w:val="00BB6D9D"/>
    <w:rsid w:val="00BC77A5"/>
    <w:rsid w:val="00BD3FC1"/>
    <w:rsid w:val="00C17ED7"/>
    <w:rsid w:val="00C41F15"/>
    <w:rsid w:val="00C671D9"/>
    <w:rsid w:val="00C70171"/>
    <w:rsid w:val="00C70A68"/>
    <w:rsid w:val="00C82E98"/>
    <w:rsid w:val="00C915A3"/>
    <w:rsid w:val="00CA2F53"/>
    <w:rsid w:val="00CB17C9"/>
    <w:rsid w:val="00CC72FF"/>
    <w:rsid w:val="00CC7C21"/>
    <w:rsid w:val="00CE0886"/>
    <w:rsid w:val="00CE19D9"/>
    <w:rsid w:val="00CF2516"/>
    <w:rsid w:val="00CF6D63"/>
    <w:rsid w:val="00D23B28"/>
    <w:rsid w:val="00D46C8D"/>
    <w:rsid w:val="00D750D1"/>
    <w:rsid w:val="00DA1359"/>
    <w:rsid w:val="00DE5444"/>
    <w:rsid w:val="00DF072F"/>
    <w:rsid w:val="00E32014"/>
    <w:rsid w:val="00E3727C"/>
    <w:rsid w:val="00E818E7"/>
    <w:rsid w:val="00EB58BA"/>
    <w:rsid w:val="00EE6B93"/>
    <w:rsid w:val="00F04A6E"/>
    <w:rsid w:val="00F04DEF"/>
    <w:rsid w:val="00F31070"/>
    <w:rsid w:val="00F347DA"/>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4</Pages>
  <Words>756</Words>
  <Characters>4159</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129</cp:revision>
  <dcterms:created xsi:type="dcterms:W3CDTF">2021-11-25T09:44:00Z</dcterms:created>
  <dcterms:modified xsi:type="dcterms:W3CDTF">2024-03-29T17:26:00Z</dcterms:modified>
</cp:coreProperties>
</file>