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94BF8A" w14:textId="5B8EFEFC" w:rsidR="00902D2F" w:rsidRPr="00263ED0" w:rsidRDefault="00263ED0" w:rsidP="00B41C02">
      <w:pPr>
        <w:jc w:val="both"/>
        <w:rPr>
          <w:rFonts w:ascii="Tahoma" w:hAnsi="Tahoma" w:cs="Tahoma"/>
          <w:sz w:val="48"/>
          <w:szCs w:val="48"/>
          <w:u w:val="single"/>
        </w:rPr>
      </w:pPr>
      <w:r>
        <w:rPr>
          <w:rFonts w:ascii="Tahoma" w:hAnsi="Tahoma" w:cs="Tahoma"/>
        </w:rPr>
        <w:t xml:space="preserve">                                      </w:t>
      </w:r>
      <w:r w:rsidRPr="00263ED0">
        <w:rPr>
          <w:rFonts w:ascii="Tahoma" w:hAnsi="Tahoma" w:cs="Tahoma"/>
          <w:sz w:val="48"/>
          <w:szCs w:val="48"/>
          <w:u w:val="single"/>
        </w:rPr>
        <w:t xml:space="preserve">EUROSTOXX 50 </w:t>
      </w:r>
    </w:p>
    <w:p w14:paraId="6A0F7EC2" w14:textId="1956B176" w:rsidR="00902D2F" w:rsidRPr="00041E45" w:rsidRDefault="00902D2F" w:rsidP="00B41C02">
      <w:pPr>
        <w:jc w:val="both"/>
        <w:rPr>
          <w:rFonts w:ascii="Tahoma" w:hAnsi="Tahoma" w:cs="Tahoma"/>
          <w:sz w:val="32"/>
          <w:szCs w:val="32"/>
          <w:u w:val="single"/>
        </w:rPr>
      </w:pPr>
      <w:r w:rsidRPr="00041E45">
        <w:rPr>
          <w:rFonts w:ascii="Tahoma" w:hAnsi="Tahoma" w:cs="Tahoma"/>
          <w:sz w:val="32"/>
          <w:szCs w:val="32"/>
          <w:u w:val="single"/>
        </w:rPr>
        <w:t>Week</w:t>
      </w:r>
    </w:p>
    <w:p w14:paraId="2862B446" w14:textId="5860A620" w:rsidR="00902D2F" w:rsidRDefault="004D35B4" w:rsidP="00B41C02">
      <w:pPr>
        <w:jc w:val="both"/>
        <w:rPr>
          <w:rFonts w:ascii="Tahoma" w:hAnsi="Tahoma" w:cs="Tahoma"/>
        </w:rPr>
      </w:pPr>
      <w:r>
        <w:rPr>
          <w:noProof/>
        </w:rPr>
        <w:drawing>
          <wp:inline distT="0" distB="0" distL="0" distR="0" wp14:anchorId="268DC2AE" wp14:editId="0D517DA2">
            <wp:extent cx="5760720" cy="4320540"/>
            <wp:effectExtent l="0" t="0" r="0" b="3810"/>
            <wp:docPr id="210060783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685822D0" w14:textId="77777777" w:rsidR="006E32BB" w:rsidRDefault="006E32BB" w:rsidP="00B41C02">
      <w:pPr>
        <w:jc w:val="both"/>
        <w:rPr>
          <w:rFonts w:ascii="Tahoma" w:hAnsi="Tahoma" w:cs="Tahoma"/>
        </w:rPr>
      </w:pPr>
    </w:p>
    <w:p w14:paraId="65B16AE1" w14:textId="517B9F09" w:rsidR="00583BC8" w:rsidRDefault="00BB6D9D" w:rsidP="00B41C02">
      <w:pPr>
        <w:jc w:val="both"/>
        <w:rPr>
          <w:rFonts w:ascii="Tahoma" w:hAnsi="Tahoma" w:cs="Tahoma"/>
        </w:rPr>
      </w:pPr>
      <w:r>
        <w:rPr>
          <w:rFonts w:ascii="Tahoma" w:hAnsi="Tahoma" w:cs="Tahoma"/>
        </w:rPr>
        <w:t xml:space="preserve"> </w:t>
      </w:r>
      <w:r w:rsidR="00180EE2">
        <w:rPr>
          <w:rFonts w:ascii="Tahoma" w:hAnsi="Tahoma" w:cs="Tahoma"/>
        </w:rPr>
        <w:t>Un marché sur acheté peut toujours progresser mais jusqu’où</w:t>
      </w:r>
      <w:r w:rsidR="00D148DE">
        <w:rPr>
          <w:rFonts w:ascii="Tahoma" w:hAnsi="Tahoma" w:cs="Tahoma"/>
        </w:rPr>
        <w:t> ?</w:t>
      </w:r>
      <w:r w:rsidR="00180EE2">
        <w:rPr>
          <w:rFonts w:ascii="Tahoma" w:hAnsi="Tahoma" w:cs="Tahoma"/>
        </w:rPr>
        <w:t xml:space="preserve"> Si tous les </w:t>
      </w:r>
      <w:r w:rsidR="000B24B9">
        <w:rPr>
          <w:rFonts w:ascii="Tahoma" w:hAnsi="Tahoma" w:cs="Tahoma"/>
        </w:rPr>
        <w:t>opérateurs</w:t>
      </w:r>
      <w:r w:rsidR="00180EE2">
        <w:rPr>
          <w:rFonts w:ascii="Tahoma" w:hAnsi="Tahoma" w:cs="Tahoma"/>
        </w:rPr>
        <w:t xml:space="preserve"> ont déjà pris position à l’achat, cela limite le potentiel de hausse</w:t>
      </w:r>
      <w:r w:rsidR="00D148DE">
        <w:rPr>
          <w:rFonts w:ascii="Tahoma" w:hAnsi="Tahoma" w:cs="Tahoma"/>
        </w:rPr>
        <w:t xml:space="preserve"> ou</w:t>
      </w:r>
      <w:r w:rsidR="00180EE2">
        <w:rPr>
          <w:rFonts w:ascii="Tahoma" w:hAnsi="Tahoma" w:cs="Tahoma"/>
        </w:rPr>
        <w:t xml:space="preserve"> de nouveaux sommets.</w:t>
      </w:r>
      <w:r w:rsidR="00A04364">
        <w:rPr>
          <w:rFonts w:ascii="Tahoma" w:hAnsi="Tahoma" w:cs="Tahoma"/>
        </w:rPr>
        <w:t xml:space="preserve"> Mais l’irrationnalité et la cupidité des intervenants les poussent souvent à prendre des positions dangereuse</w:t>
      </w:r>
      <w:r w:rsidR="0048100B">
        <w:rPr>
          <w:rFonts w:ascii="Tahoma" w:hAnsi="Tahoma" w:cs="Tahoma"/>
        </w:rPr>
        <w:t>s</w:t>
      </w:r>
      <w:r w:rsidR="00A04364">
        <w:rPr>
          <w:rFonts w:ascii="Tahoma" w:hAnsi="Tahoma" w:cs="Tahoma"/>
        </w:rPr>
        <w:t xml:space="preserve"> pour leur capital. </w:t>
      </w:r>
    </w:p>
    <w:p w14:paraId="66DE53D1" w14:textId="76362221" w:rsidR="0048100B" w:rsidRDefault="0048100B" w:rsidP="00B41C02">
      <w:pPr>
        <w:jc w:val="both"/>
        <w:rPr>
          <w:rFonts w:ascii="Tahoma" w:hAnsi="Tahoma" w:cs="Tahoma"/>
        </w:rPr>
      </w:pPr>
      <w:r>
        <w:rPr>
          <w:rFonts w:ascii="Tahoma" w:hAnsi="Tahoma" w:cs="Tahoma"/>
        </w:rPr>
        <w:t xml:space="preserve">L’avalement baissier de la semaine dernière n’est pas étonnant. Cette figure de retournement aurait pu apparaitre plus </w:t>
      </w:r>
      <w:r w:rsidR="000B24B9">
        <w:rPr>
          <w:rFonts w:ascii="Tahoma" w:hAnsi="Tahoma" w:cs="Tahoma"/>
        </w:rPr>
        <w:t>tôt</w:t>
      </w:r>
      <w:r>
        <w:rPr>
          <w:rFonts w:ascii="Tahoma" w:hAnsi="Tahoma" w:cs="Tahoma"/>
        </w:rPr>
        <w:t xml:space="preserve"> </w:t>
      </w:r>
      <w:r w:rsidR="00E27A89">
        <w:rPr>
          <w:rFonts w:ascii="Tahoma" w:hAnsi="Tahoma" w:cs="Tahoma"/>
        </w:rPr>
        <w:t xml:space="preserve">mais cela n’a pas été le cas. </w:t>
      </w:r>
      <w:r w:rsidR="00D148DE">
        <w:rPr>
          <w:rFonts w:ascii="Tahoma" w:hAnsi="Tahoma" w:cs="Tahoma"/>
        </w:rPr>
        <w:t>Cette semaine</w:t>
      </w:r>
      <w:r w:rsidR="00E27A89">
        <w:rPr>
          <w:rFonts w:ascii="Tahoma" w:hAnsi="Tahoma" w:cs="Tahoma"/>
        </w:rPr>
        <w:t xml:space="preserve"> elle est confirmée par une seconde chandelle noire qui montre que les dégagements de positions longues sont de plus en plus </w:t>
      </w:r>
      <w:r w:rsidR="000B24B9">
        <w:rPr>
          <w:rFonts w:ascii="Tahoma" w:hAnsi="Tahoma" w:cs="Tahoma"/>
        </w:rPr>
        <w:t>importants</w:t>
      </w:r>
      <w:r w:rsidR="00E27A89">
        <w:rPr>
          <w:rFonts w:ascii="Tahoma" w:hAnsi="Tahoma" w:cs="Tahoma"/>
        </w:rPr>
        <w:t>.</w:t>
      </w:r>
      <w:r w:rsidR="00071BDD">
        <w:rPr>
          <w:rFonts w:ascii="Tahoma" w:hAnsi="Tahoma" w:cs="Tahoma"/>
        </w:rPr>
        <w:t xml:space="preserve"> Mais attention à cette configuration graphique</w:t>
      </w:r>
      <w:r w:rsidR="00D148DE">
        <w:rPr>
          <w:rFonts w:ascii="Tahoma" w:hAnsi="Tahoma" w:cs="Tahoma"/>
        </w:rPr>
        <w:t>.</w:t>
      </w:r>
      <w:r w:rsidR="00071BDD">
        <w:rPr>
          <w:rFonts w:ascii="Tahoma" w:hAnsi="Tahoma" w:cs="Tahoma"/>
        </w:rPr>
        <w:t xml:space="preserve"> </w:t>
      </w:r>
      <w:r w:rsidR="00D148DE">
        <w:rPr>
          <w:rFonts w:ascii="Tahoma" w:hAnsi="Tahoma" w:cs="Tahoma"/>
        </w:rPr>
        <w:t>I</w:t>
      </w:r>
      <w:r w:rsidR="00071BDD">
        <w:rPr>
          <w:rFonts w:ascii="Tahoma" w:hAnsi="Tahoma" w:cs="Tahoma"/>
        </w:rPr>
        <w:t xml:space="preserve">l </w:t>
      </w:r>
      <w:r w:rsidR="00D148DE">
        <w:rPr>
          <w:rFonts w:ascii="Tahoma" w:hAnsi="Tahoma" w:cs="Tahoma"/>
        </w:rPr>
        <w:t>n’</w:t>
      </w:r>
      <w:r w:rsidR="00071BDD">
        <w:rPr>
          <w:rFonts w:ascii="Tahoma" w:hAnsi="Tahoma" w:cs="Tahoma"/>
        </w:rPr>
        <w:t>est</w:t>
      </w:r>
      <w:r w:rsidR="00D148DE">
        <w:rPr>
          <w:rFonts w:ascii="Tahoma" w:hAnsi="Tahoma" w:cs="Tahoma"/>
        </w:rPr>
        <w:t xml:space="preserve"> pas étonnant qu’</w:t>
      </w:r>
      <w:r w:rsidR="00071BDD">
        <w:rPr>
          <w:rFonts w:ascii="Tahoma" w:hAnsi="Tahoma" w:cs="Tahoma"/>
        </w:rPr>
        <w:t xml:space="preserve">après un mouvement excessif, la contre réaction donne </w:t>
      </w:r>
      <w:r w:rsidR="00D148DE">
        <w:rPr>
          <w:rFonts w:ascii="Tahoma" w:hAnsi="Tahoma" w:cs="Tahoma"/>
        </w:rPr>
        <w:t>une</w:t>
      </w:r>
      <w:r w:rsidR="00071BDD">
        <w:rPr>
          <w:rFonts w:ascii="Tahoma" w:hAnsi="Tahoma" w:cs="Tahoma"/>
        </w:rPr>
        <w:t xml:space="preserve"> figure de retournement </w:t>
      </w:r>
      <w:r w:rsidR="00DC1336">
        <w:rPr>
          <w:rFonts w:ascii="Tahoma" w:hAnsi="Tahoma" w:cs="Tahoma"/>
        </w:rPr>
        <w:t>qui dans des temps ordinaires n’ont pas besoin d’être confirmées.</w:t>
      </w:r>
    </w:p>
    <w:p w14:paraId="6BAB2B61" w14:textId="3FB6D63C" w:rsidR="00801E6E" w:rsidRDefault="00801E6E" w:rsidP="00B41C02">
      <w:pPr>
        <w:jc w:val="both"/>
        <w:rPr>
          <w:rFonts w:ascii="Tahoma" w:hAnsi="Tahoma" w:cs="Tahoma"/>
        </w:rPr>
      </w:pPr>
      <w:r>
        <w:rPr>
          <w:rFonts w:ascii="Tahoma" w:hAnsi="Tahoma" w:cs="Tahoma"/>
        </w:rPr>
        <w:t>C’est pour cette raison que l’on étudiera attentivement l’évolution des prix et le passage de</w:t>
      </w:r>
      <w:r w:rsidR="00D148DE">
        <w:rPr>
          <w:rFonts w:ascii="Tahoma" w:hAnsi="Tahoma" w:cs="Tahoma"/>
        </w:rPr>
        <w:t>s</w:t>
      </w:r>
      <w:r>
        <w:rPr>
          <w:rFonts w:ascii="Tahoma" w:hAnsi="Tahoma" w:cs="Tahoma"/>
        </w:rPr>
        <w:t xml:space="preserve"> 4888 </w:t>
      </w:r>
      <w:r w:rsidR="00D148DE">
        <w:rPr>
          <w:rFonts w:ascii="Tahoma" w:hAnsi="Tahoma" w:cs="Tahoma"/>
        </w:rPr>
        <w:t xml:space="preserve">points, </w:t>
      </w:r>
      <w:r>
        <w:rPr>
          <w:rFonts w:ascii="Tahoma" w:hAnsi="Tahoma" w:cs="Tahoma"/>
        </w:rPr>
        <w:t>qui donnera un avalement baissier sur le long terme. Actuellement, même si la bougie mensuelle n’est pas achevée, cette unité de temps nous dit que le marché n’est qu’en simple alerte baissière.</w:t>
      </w:r>
    </w:p>
    <w:p w14:paraId="7AC4D2D2" w14:textId="6BD8CD94" w:rsidR="00DF072F" w:rsidRDefault="00DF072F" w:rsidP="00B41C02">
      <w:pPr>
        <w:jc w:val="both"/>
        <w:rPr>
          <w:rFonts w:ascii="Tahoma" w:hAnsi="Tahoma" w:cs="Tahoma"/>
        </w:rPr>
      </w:pPr>
    </w:p>
    <w:p w14:paraId="374D1F17" w14:textId="24AE7426" w:rsidR="00583BC8" w:rsidRDefault="00583BC8" w:rsidP="00B41C02">
      <w:pPr>
        <w:jc w:val="both"/>
        <w:rPr>
          <w:rFonts w:ascii="Tahoma" w:hAnsi="Tahoma" w:cs="Tahoma"/>
        </w:rPr>
      </w:pPr>
    </w:p>
    <w:p w14:paraId="53AA9186" w14:textId="5A12989E" w:rsidR="00583BC8" w:rsidRPr="00041E45" w:rsidRDefault="00583BC8" w:rsidP="00B41C02">
      <w:pPr>
        <w:jc w:val="both"/>
        <w:rPr>
          <w:rFonts w:ascii="Tahoma" w:hAnsi="Tahoma" w:cs="Tahoma"/>
          <w:sz w:val="32"/>
          <w:szCs w:val="32"/>
          <w:u w:val="single"/>
        </w:rPr>
      </w:pPr>
      <w:r w:rsidRPr="00041E45">
        <w:rPr>
          <w:rFonts w:ascii="Tahoma" w:hAnsi="Tahoma" w:cs="Tahoma"/>
          <w:sz w:val="32"/>
          <w:szCs w:val="32"/>
          <w:u w:val="single"/>
        </w:rPr>
        <w:lastRenderedPageBreak/>
        <w:t>DAY</w:t>
      </w:r>
    </w:p>
    <w:p w14:paraId="1675B8DF" w14:textId="2717B717" w:rsidR="00583BC8" w:rsidRDefault="004D35B4" w:rsidP="00B41C02">
      <w:pPr>
        <w:jc w:val="both"/>
        <w:rPr>
          <w:rFonts w:ascii="Tahoma" w:hAnsi="Tahoma" w:cs="Tahoma"/>
        </w:rPr>
      </w:pPr>
      <w:r>
        <w:rPr>
          <w:noProof/>
        </w:rPr>
        <w:drawing>
          <wp:inline distT="0" distB="0" distL="0" distR="0" wp14:anchorId="54BEA48E" wp14:editId="731D9751">
            <wp:extent cx="5760720" cy="4320540"/>
            <wp:effectExtent l="0" t="0" r="0" b="3810"/>
            <wp:docPr id="241947729"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28999410" w14:textId="26B73DB0" w:rsidR="00583BC8" w:rsidRDefault="00583BC8" w:rsidP="00B41C02">
      <w:pPr>
        <w:jc w:val="both"/>
        <w:rPr>
          <w:rFonts w:ascii="Tahoma" w:hAnsi="Tahoma" w:cs="Tahoma"/>
        </w:rPr>
      </w:pPr>
    </w:p>
    <w:p w14:paraId="710BA38C" w14:textId="1E7D2F95" w:rsidR="00163C46" w:rsidRDefault="00352DD9" w:rsidP="00263ED0">
      <w:pPr>
        <w:jc w:val="both"/>
        <w:rPr>
          <w:rFonts w:ascii="Tahoma" w:hAnsi="Tahoma" w:cs="Tahoma"/>
        </w:rPr>
      </w:pPr>
      <w:r>
        <w:rPr>
          <w:rFonts w:ascii="Tahoma" w:hAnsi="Tahoma" w:cs="Tahoma"/>
        </w:rPr>
        <w:t>L</w:t>
      </w:r>
      <w:r w:rsidR="003B2A13">
        <w:rPr>
          <w:rFonts w:ascii="Tahoma" w:hAnsi="Tahoma" w:cs="Tahoma"/>
        </w:rPr>
        <w:t xml:space="preserve">e court terme s’inscrit lui aussi dans </w:t>
      </w:r>
      <w:r w:rsidR="00D148DE">
        <w:rPr>
          <w:rFonts w:ascii="Tahoma" w:hAnsi="Tahoma" w:cs="Tahoma"/>
        </w:rPr>
        <w:t>un</w:t>
      </w:r>
      <w:r w:rsidR="003B2A13">
        <w:rPr>
          <w:rFonts w:ascii="Tahoma" w:hAnsi="Tahoma" w:cs="Tahoma"/>
        </w:rPr>
        <w:t xml:space="preserve"> mode correctif. </w:t>
      </w:r>
    </w:p>
    <w:p w14:paraId="67B8B186" w14:textId="2F39DE02" w:rsidR="00467005" w:rsidRDefault="003B2A13" w:rsidP="00041E45">
      <w:pPr>
        <w:jc w:val="both"/>
        <w:rPr>
          <w:rFonts w:ascii="Tahoma" w:hAnsi="Tahoma" w:cs="Tahoma"/>
        </w:rPr>
      </w:pPr>
      <w:r>
        <w:rPr>
          <w:rFonts w:ascii="Tahoma" w:hAnsi="Tahoma" w:cs="Tahoma"/>
        </w:rPr>
        <w:t xml:space="preserve">Sur cette unité de temps, deux niveaux vont servir de signal pour envisager une direction </w:t>
      </w:r>
    </w:p>
    <w:p w14:paraId="525E42C9" w14:textId="6291E27A" w:rsidR="003B2A13" w:rsidRDefault="003B2A13" w:rsidP="00041E45">
      <w:pPr>
        <w:jc w:val="both"/>
        <w:rPr>
          <w:rFonts w:ascii="Tahoma" w:hAnsi="Tahoma" w:cs="Tahoma"/>
        </w:rPr>
      </w:pPr>
      <w:r>
        <w:rPr>
          <w:rFonts w:ascii="Tahoma" w:hAnsi="Tahoma" w:cs="Tahoma"/>
        </w:rPr>
        <w:t>Le premier est matérialisé par une résistance sur 5042</w:t>
      </w:r>
      <w:r w:rsidR="00D148DE">
        <w:rPr>
          <w:rFonts w:ascii="Tahoma" w:hAnsi="Tahoma" w:cs="Tahoma"/>
        </w:rPr>
        <w:t xml:space="preserve"> où l</w:t>
      </w:r>
      <w:r>
        <w:rPr>
          <w:rFonts w:ascii="Tahoma" w:hAnsi="Tahoma" w:cs="Tahoma"/>
        </w:rPr>
        <w:t xml:space="preserve">e point bas de la première longue chandelle noire a servi de résistance lors du rebond des prix. Après plusieurs séances d’hésitation sous ce niveau, les prix sont </w:t>
      </w:r>
      <w:r w:rsidR="000B24B9">
        <w:rPr>
          <w:rFonts w:ascii="Tahoma" w:hAnsi="Tahoma" w:cs="Tahoma"/>
        </w:rPr>
        <w:t>repartis</w:t>
      </w:r>
      <w:r>
        <w:rPr>
          <w:rFonts w:ascii="Tahoma" w:hAnsi="Tahoma" w:cs="Tahoma"/>
        </w:rPr>
        <w:t xml:space="preserve"> à la baisse vers le second </w:t>
      </w:r>
      <w:r w:rsidR="00D148DE">
        <w:rPr>
          <w:rFonts w:ascii="Tahoma" w:hAnsi="Tahoma" w:cs="Tahoma"/>
        </w:rPr>
        <w:t>niveau</w:t>
      </w:r>
      <w:r>
        <w:rPr>
          <w:rFonts w:ascii="Tahoma" w:hAnsi="Tahoma" w:cs="Tahoma"/>
        </w:rPr>
        <w:t>.</w:t>
      </w:r>
    </w:p>
    <w:p w14:paraId="10BB9766" w14:textId="2ED11CF2" w:rsidR="00723F77" w:rsidRDefault="003B2A13" w:rsidP="00041E45">
      <w:pPr>
        <w:jc w:val="both"/>
        <w:rPr>
          <w:rFonts w:ascii="Tahoma" w:hAnsi="Tahoma" w:cs="Tahoma"/>
        </w:rPr>
      </w:pPr>
      <w:r>
        <w:rPr>
          <w:rFonts w:ascii="Tahoma" w:hAnsi="Tahoma" w:cs="Tahoma"/>
        </w:rPr>
        <w:t xml:space="preserve">Ce </w:t>
      </w:r>
      <w:r w:rsidR="00D148DE">
        <w:rPr>
          <w:rFonts w:ascii="Tahoma" w:hAnsi="Tahoma" w:cs="Tahoma"/>
        </w:rPr>
        <w:t xml:space="preserve">niveau </w:t>
      </w:r>
      <w:r>
        <w:rPr>
          <w:rFonts w:ascii="Tahoma" w:hAnsi="Tahoma" w:cs="Tahoma"/>
        </w:rPr>
        <w:t xml:space="preserve">est matérialisé par une </w:t>
      </w:r>
      <w:r w:rsidR="000B24B9">
        <w:rPr>
          <w:rFonts w:ascii="Tahoma" w:hAnsi="Tahoma" w:cs="Tahoma"/>
        </w:rPr>
        <w:t>fenêtre</w:t>
      </w:r>
      <w:r w:rsidR="00AF2091">
        <w:rPr>
          <w:rFonts w:ascii="Tahoma" w:hAnsi="Tahoma" w:cs="Tahoma"/>
        </w:rPr>
        <w:t xml:space="preserve"> ouverte le 22 </w:t>
      </w:r>
      <w:r w:rsidR="000B24B9">
        <w:rPr>
          <w:rFonts w:ascii="Tahoma" w:hAnsi="Tahoma" w:cs="Tahoma"/>
        </w:rPr>
        <w:t>février</w:t>
      </w:r>
      <w:r w:rsidR="00AF2091">
        <w:rPr>
          <w:rFonts w:ascii="Tahoma" w:hAnsi="Tahoma" w:cs="Tahoma"/>
        </w:rPr>
        <w:t xml:space="preserve"> entre 4782 et 4812. Cette </w:t>
      </w:r>
      <w:r w:rsidR="000B24B9">
        <w:rPr>
          <w:rFonts w:ascii="Tahoma" w:hAnsi="Tahoma" w:cs="Tahoma"/>
        </w:rPr>
        <w:t>fenêtre</w:t>
      </w:r>
      <w:r w:rsidR="00AF2091">
        <w:rPr>
          <w:rFonts w:ascii="Tahoma" w:hAnsi="Tahoma" w:cs="Tahoma"/>
        </w:rPr>
        <w:t xml:space="preserve"> donnera un biais positif </w:t>
      </w:r>
      <w:r w:rsidR="00D148DE">
        <w:rPr>
          <w:rFonts w:ascii="Tahoma" w:hAnsi="Tahoma" w:cs="Tahoma"/>
        </w:rPr>
        <w:t xml:space="preserve">au marché </w:t>
      </w:r>
      <w:r w:rsidR="00AF2091">
        <w:rPr>
          <w:rFonts w:ascii="Tahoma" w:hAnsi="Tahoma" w:cs="Tahoma"/>
        </w:rPr>
        <w:t xml:space="preserve">tant que sa base de 4782 </w:t>
      </w:r>
      <w:r w:rsidR="00D148DE">
        <w:rPr>
          <w:rFonts w:ascii="Tahoma" w:hAnsi="Tahoma" w:cs="Tahoma"/>
        </w:rPr>
        <w:t>restera</w:t>
      </w:r>
      <w:r w:rsidR="00AF2091">
        <w:rPr>
          <w:rFonts w:ascii="Tahoma" w:hAnsi="Tahoma" w:cs="Tahoma"/>
        </w:rPr>
        <w:t xml:space="preserve"> invalidée (ici la </w:t>
      </w:r>
      <w:r w:rsidR="000B24B9">
        <w:rPr>
          <w:rFonts w:ascii="Tahoma" w:hAnsi="Tahoma" w:cs="Tahoma"/>
        </w:rPr>
        <w:t>clôture</w:t>
      </w:r>
      <w:r w:rsidR="00AF2091">
        <w:rPr>
          <w:rFonts w:ascii="Tahoma" w:hAnsi="Tahoma" w:cs="Tahoma"/>
        </w:rPr>
        <w:t xml:space="preserve"> est importante)</w:t>
      </w:r>
      <w:r w:rsidR="00D148DE">
        <w:rPr>
          <w:rFonts w:ascii="Tahoma" w:hAnsi="Tahoma" w:cs="Tahoma"/>
        </w:rPr>
        <w:t>.</w:t>
      </w:r>
    </w:p>
    <w:p w14:paraId="5B9779EA" w14:textId="629C04A1" w:rsidR="00AF2091" w:rsidRDefault="00AF2091" w:rsidP="00041E45">
      <w:pPr>
        <w:jc w:val="both"/>
        <w:rPr>
          <w:rFonts w:ascii="Tahoma" w:hAnsi="Tahoma" w:cs="Tahoma"/>
        </w:rPr>
      </w:pPr>
      <w:r>
        <w:rPr>
          <w:rFonts w:ascii="Tahoma" w:hAnsi="Tahoma" w:cs="Tahoma"/>
        </w:rPr>
        <w:t xml:space="preserve">Le passage de la KS permet d’envisager cette éventualité mais tant que </w:t>
      </w:r>
      <w:r w:rsidR="00D148DE">
        <w:rPr>
          <w:rFonts w:ascii="Tahoma" w:hAnsi="Tahoma" w:cs="Tahoma"/>
        </w:rPr>
        <w:t xml:space="preserve">le support de </w:t>
      </w:r>
      <w:r>
        <w:rPr>
          <w:rFonts w:ascii="Tahoma" w:hAnsi="Tahoma" w:cs="Tahoma"/>
        </w:rPr>
        <w:t>4782 ne sera pas invalidé, la baisse des prix sera</w:t>
      </w:r>
      <w:r w:rsidR="00D148DE">
        <w:rPr>
          <w:rFonts w:ascii="Tahoma" w:hAnsi="Tahoma" w:cs="Tahoma"/>
        </w:rPr>
        <w:t xml:space="preserve"> vue comme </w:t>
      </w:r>
      <w:r>
        <w:rPr>
          <w:rFonts w:ascii="Tahoma" w:hAnsi="Tahoma" w:cs="Tahoma"/>
        </w:rPr>
        <w:t xml:space="preserve">une </w:t>
      </w:r>
      <w:r w:rsidR="00D148DE">
        <w:rPr>
          <w:rFonts w:ascii="Tahoma" w:hAnsi="Tahoma" w:cs="Tahoma"/>
        </w:rPr>
        <w:t xml:space="preserve">simple </w:t>
      </w:r>
      <w:r>
        <w:rPr>
          <w:rFonts w:ascii="Tahoma" w:hAnsi="Tahoma" w:cs="Tahoma"/>
        </w:rPr>
        <w:t>correction.</w:t>
      </w:r>
    </w:p>
    <w:p w14:paraId="65729BF6" w14:textId="77777777" w:rsidR="00EF3F01" w:rsidRDefault="00EF3F01" w:rsidP="00041E45">
      <w:pPr>
        <w:jc w:val="both"/>
        <w:rPr>
          <w:rFonts w:ascii="Tahoma" w:hAnsi="Tahoma" w:cs="Tahoma"/>
        </w:rPr>
      </w:pPr>
    </w:p>
    <w:p w14:paraId="655E9AC0" w14:textId="6B93DFC1" w:rsidR="00723F77" w:rsidRDefault="00835AC6" w:rsidP="00041E45">
      <w:pPr>
        <w:jc w:val="both"/>
        <w:rPr>
          <w:rFonts w:ascii="Tahoma" w:hAnsi="Tahoma" w:cs="Tahoma"/>
        </w:rPr>
      </w:pPr>
      <w:r w:rsidRPr="00835AC6">
        <w:rPr>
          <w:rFonts w:ascii="Tahoma" w:hAnsi="Tahoma" w:cs="Tahoma"/>
          <w:u w:val="single"/>
        </w:rPr>
        <w:t>CONCLUSION</w:t>
      </w:r>
      <w:r>
        <w:rPr>
          <w:rFonts w:ascii="Tahoma" w:hAnsi="Tahoma" w:cs="Tahoma"/>
        </w:rPr>
        <w:t> :</w:t>
      </w:r>
      <w:r w:rsidR="00EF3F01">
        <w:rPr>
          <w:rFonts w:ascii="Tahoma" w:hAnsi="Tahoma" w:cs="Tahoma"/>
        </w:rPr>
        <w:t xml:space="preserve"> Accumulation de signaux négatifs à mettre en parallèle avec la très forte hausse de ces derniers mois. Le marché est cadré par 5042 et 4782. Une nouvelle direction se</w:t>
      </w:r>
      <w:r w:rsidR="00D148DE">
        <w:rPr>
          <w:rFonts w:ascii="Tahoma" w:hAnsi="Tahoma" w:cs="Tahoma"/>
        </w:rPr>
        <w:t xml:space="preserve"> fera </w:t>
      </w:r>
      <w:r w:rsidR="00EF3F01">
        <w:rPr>
          <w:rFonts w:ascii="Tahoma" w:hAnsi="Tahoma" w:cs="Tahoma"/>
        </w:rPr>
        <w:t>plus précise en cassure du support ou de la résistance.</w:t>
      </w:r>
    </w:p>
    <w:p w14:paraId="7ECBFD62" w14:textId="381E9F64" w:rsidR="00723F77" w:rsidRDefault="00723F77" w:rsidP="00041E45">
      <w:pPr>
        <w:jc w:val="both"/>
        <w:rPr>
          <w:rFonts w:ascii="Tahoma" w:hAnsi="Tahoma" w:cs="Tahoma"/>
        </w:rPr>
      </w:pPr>
    </w:p>
    <w:p w14:paraId="09D59234" w14:textId="23BBE9A1" w:rsidR="003C2E49" w:rsidRDefault="003C2E49" w:rsidP="00041E45">
      <w:pPr>
        <w:jc w:val="both"/>
        <w:rPr>
          <w:rFonts w:ascii="Tahoma" w:hAnsi="Tahoma" w:cs="Tahoma"/>
          <w:b/>
          <w:bCs/>
          <w:sz w:val="28"/>
          <w:szCs w:val="28"/>
          <w:u w:val="single"/>
        </w:rPr>
      </w:pPr>
      <w:r>
        <w:rPr>
          <w:rFonts w:ascii="Tahoma" w:hAnsi="Tahoma" w:cs="Tahoma"/>
        </w:rPr>
        <w:t xml:space="preserve">                                                                            </w:t>
      </w:r>
      <w:r w:rsidRPr="00EE6B93">
        <w:rPr>
          <w:rFonts w:ascii="Tahoma" w:hAnsi="Tahoma" w:cs="Tahoma"/>
          <w:b/>
          <w:bCs/>
          <w:sz w:val="28"/>
          <w:szCs w:val="28"/>
          <w:u w:val="single"/>
        </w:rPr>
        <w:t>ATTAL JEAN-LUC</w:t>
      </w:r>
    </w:p>
    <w:p w14:paraId="7AFE83C0" w14:textId="11115AC8" w:rsidR="003C2E49" w:rsidRDefault="003C2E49" w:rsidP="00041E45">
      <w:pPr>
        <w:jc w:val="both"/>
        <w:rPr>
          <w:rFonts w:ascii="Tahoma" w:hAnsi="Tahoma" w:cs="Tahoma"/>
          <w:b/>
          <w:bCs/>
          <w:sz w:val="28"/>
          <w:szCs w:val="28"/>
          <w:u w:val="single"/>
        </w:rPr>
      </w:pPr>
    </w:p>
    <w:p w14:paraId="61D47236" w14:textId="2E2E6D5E" w:rsidR="003C2E49" w:rsidRDefault="003C2E49" w:rsidP="00041E45">
      <w:pPr>
        <w:jc w:val="both"/>
        <w:rPr>
          <w:rFonts w:ascii="Tahoma" w:hAnsi="Tahoma" w:cs="Tahoma"/>
          <w:b/>
          <w:bCs/>
          <w:sz w:val="28"/>
          <w:szCs w:val="28"/>
          <w:u w:val="single"/>
        </w:rPr>
      </w:pPr>
    </w:p>
    <w:p w14:paraId="46266A44" w14:textId="4AC7989B" w:rsidR="003C2E49" w:rsidRDefault="003C2E49" w:rsidP="00041E45">
      <w:pPr>
        <w:jc w:val="both"/>
        <w:rPr>
          <w:rFonts w:ascii="Tahoma" w:hAnsi="Tahoma" w:cs="Tahoma"/>
          <w:b/>
          <w:bCs/>
          <w:sz w:val="28"/>
          <w:szCs w:val="28"/>
          <w:u w:val="single"/>
        </w:rPr>
      </w:pPr>
    </w:p>
    <w:p w14:paraId="66364D58" w14:textId="77777777" w:rsidR="003C2E49" w:rsidRDefault="003C2E49" w:rsidP="00041E45">
      <w:pPr>
        <w:jc w:val="both"/>
        <w:rPr>
          <w:rFonts w:ascii="Tahoma" w:hAnsi="Tahoma" w:cs="Tahoma"/>
        </w:rPr>
      </w:pP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2580A"/>
    <w:rsid w:val="00041E45"/>
    <w:rsid w:val="000524C5"/>
    <w:rsid w:val="000556C3"/>
    <w:rsid w:val="00071BDD"/>
    <w:rsid w:val="000833FB"/>
    <w:rsid w:val="00092058"/>
    <w:rsid w:val="000B24B9"/>
    <w:rsid w:val="000B7DFC"/>
    <w:rsid w:val="000D4ED3"/>
    <w:rsid w:val="001018AD"/>
    <w:rsid w:val="00105B4E"/>
    <w:rsid w:val="00134AFA"/>
    <w:rsid w:val="0014687D"/>
    <w:rsid w:val="0015581D"/>
    <w:rsid w:val="00163C46"/>
    <w:rsid w:val="001705F4"/>
    <w:rsid w:val="00180EE2"/>
    <w:rsid w:val="00190995"/>
    <w:rsid w:val="001D474B"/>
    <w:rsid w:val="001F650A"/>
    <w:rsid w:val="002003AD"/>
    <w:rsid w:val="002421FE"/>
    <w:rsid w:val="00262E25"/>
    <w:rsid w:val="00263ED0"/>
    <w:rsid w:val="002A1F8E"/>
    <w:rsid w:val="002B5CB1"/>
    <w:rsid w:val="002C0A31"/>
    <w:rsid w:val="002F54B0"/>
    <w:rsid w:val="0030643B"/>
    <w:rsid w:val="00337611"/>
    <w:rsid w:val="00340FD9"/>
    <w:rsid w:val="00352DD9"/>
    <w:rsid w:val="003B2A13"/>
    <w:rsid w:val="003C2E49"/>
    <w:rsid w:val="0040171B"/>
    <w:rsid w:val="00467005"/>
    <w:rsid w:val="0048100B"/>
    <w:rsid w:val="004A5154"/>
    <w:rsid w:val="004D35B4"/>
    <w:rsid w:val="00531928"/>
    <w:rsid w:val="005440A4"/>
    <w:rsid w:val="00546A5A"/>
    <w:rsid w:val="00566580"/>
    <w:rsid w:val="00567AF3"/>
    <w:rsid w:val="00583BC8"/>
    <w:rsid w:val="00654380"/>
    <w:rsid w:val="006E32BB"/>
    <w:rsid w:val="00723F77"/>
    <w:rsid w:val="00744696"/>
    <w:rsid w:val="00772067"/>
    <w:rsid w:val="0077545D"/>
    <w:rsid w:val="007A0E6C"/>
    <w:rsid w:val="007B661D"/>
    <w:rsid w:val="007D19FF"/>
    <w:rsid w:val="007D2085"/>
    <w:rsid w:val="00801E6E"/>
    <w:rsid w:val="0083454A"/>
    <w:rsid w:val="00835AC6"/>
    <w:rsid w:val="00837B38"/>
    <w:rsid w:val="00896554"/>
    <w:rsid w:val="008A7407"/>
    <w:rsid w:val="008F10C2"/>
    <w:rsid w:val="00902D2F"/>
    <w:rsid w:val="00961FDF"/>
    <w:rsid w:val="00983B7D"/>
    <w:rsid w:val="009A37C2"/>
    <w:rsid w:val="009F3AB8"/>
    <w:rsid w:val="00A04364"/>
    <w:rsid w:val="00A11606"/>
    <w:rsid w:val="00A6401C"/>
    <w:rsid w:val="00A81AB7"/>
    <w:rsid w:val="00AE7F3B"/>
    <w:rsid w:val="00AF2091"/>
    <w:rsid w:val="00B34260"/>
    <w:rsid w:val="00B41C02"/>
    <w:rsid w:val="00B50E38"/>
    <w:rsid w:val="00B554B8"/>
    <w:rsid w:val="00B64EE0"/>
    <w:rsid w:val="00BB0E32"/>
    <w:rsid w:val="00BB6D9D"/>
    <w:rsid w:val="00BC77A5"/>
    <w:rsid w:val="00BD3FC1"/>
    <w:rsid w:val="00C17ED7"/>
    <w:rsid w:val="00C41F15"/>
    <w:rsid w:val="00C70171"/>
    <w:rsid w:val="00C70A68"/>
    <w:rsid w:val="00C82E98"/>
    <w:rsid w:val="00CC7C21"/>
    <w:rsid w:val="00CE0886"/>
    <w:rsid w:val="00CF2516"/>
    <w:rsid w:val="00CF6D63"/>
    <w:rsid w:val="00D148DE"/>
    <w:rsid w:val="00D23B28"/>
    <w:rsid w:val="00D46C8D"/>
    <w:rsid w:val="00DC1336"/>
    <w:rsid w:val="00DE5444"/>
    <w:rsid w:val="00DF072F"/>
    <w:rsid w:val="00E27A89"/>
    <w:rsid w:val="00E32014"/>
    <w:rsid w:val="00EB58BA"/>
    <w:rsid w:val="00ED46F3"/>
    <w:rsid w:val="00EF3F01"/>
    <w:rsid w:val="00F04A6E"/>
    <w:rsid w:val="00F04DEF"/>
    <w:rsid w:val="00F31070"/>
    <w:rsid w:val="00F53F10"/>
    <w:rsid w:val="00F636F8"/>
    <w:rsid w:val="00FA2C8E"/>
    <w:rsid w:val="00FC1860"/>
    <w:rsid w:val="00FC7EA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806</TotalTime>
  <Pages>3</Pages>
  <Words>481</Words>
  <Characters>2646</Characters>
  <Application>Microsoft Office Word</Application>
  <DocSecurity>0</DocSecurity>
  <Lines>22</Lines>
  <Paragraphs>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88</cp:revision>
  <dcterms:created xsi:type="dcterms:W3CDTF">2021-11-25T09:44:00Z</dcterms:created>
  <dcterms:modified xsi:type="dcterms:W3CDTF">2024-04-14T14:16:00Z</dcterms:modified>
</cp:coreProperties>
</file>