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C3FBC93" w:rsidR="00902D2F" w:rsidRDefault="00897633" w:rsidP="00B41C02">
      <w:pPr>
        <w:jc w:val="both"/>
        <w:rPr>
          <w:rFonts w:ascii="Tahoma" w:hAnsi="Tahoma" w:cs="Tahoma"/>
        </w:rPr>
      </w:pPr>
      <w:r>
        <w:rPr>
          <w:noProof/>
        </w:rPr>
        <w:drawing>
          <wp:inline distT="0" distB="0" distL="0" distR="0" wp14:anchorId="3D765AB8" wp14:editId="7C52BDBB">
            <wp:extent cx="5760720" cy="4320540"/>
            <wp:effectExtent l="0" t="0" r="0" b="3810"/>
            <wp:docPr id="1013204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627F9B49" w:rsidR="00DF072F" w:rsidRDefault="000F39F2" w:rsidP="00B41C02">
      <w:pPr>
        <w:jc w:val="both"/>
        <w:rPr>
          <w:rFonts w:ascii="Tahoma" w:hAnsi="Tahoma" w:cs="Tahoma"/>
        </w:rPr>
      </w:pPr>
      <w:r>
        <w:rPr>
          <w:rFonts w:ascii="Tahoma" w:hAnsi="Tahoma" w:cs="Tahoma"/>
        </w:rPr>
        <w:t>Sur le moyen terme, le twist du nuage futur a permis de sortir le contrat de son environnement baissier et de favoriser la consolidation ou le retournement de mouvement.</w:t>
      </w:r>
    </w:p>
    <w:p w14:paraId="2E294FC3" w14:textId="25EE1DDD" w:rsidR="000F39F2" w:rsidRDefault="000F39F2" w:rsidP="00B41C02">
      <w:pPr>
        <w:jc w:val="both"/>
        <w:rPr>
          <w:rFonts w:ascii="Tahoma" w:hAnsi="Tahoma" w:cs="Tahoma"/>
        </w:rPr>
      </w:pPr>
      <w:r>
        <w:rPr>
          <w:rFonts w:ascii="Tahoma" w:hAnsi="Tahoma" w:cs="Tahoma"/>
        </w:rPr>
        <w:t xml:space="preserve">La vague de baisse qui a pris forme au début de l’année 2024 permet d’écarter la hausse des prix </w:t>
      </w:r>
      <w:r w:rsidR="002E6E56">
        <w:rPr>
          <w:rFonts w:ascii="Tahoma" w:hAnsi="Tahoma" w:cs="Tahoma"/>
        </w:rPr>
        <w:t xml:space="preserve">et </w:t>
      </w:r>
      <w:r>
        <w:rPr>
          <w:rFonts w:ascii="Tahoma" w:hAnsi="Tahoma" w:cs="Tahoma"/>
        </w:rPr>
        <w:t>avantage</w:t>
      </w:r>
      <w:r w:rsidR="002E6E56">
        <w:rPr>
          <w:rFonts w:ascii="Tahoma" w:hAnsi="Tahoma" w:cs="Tahoma"/>
        </w:rPr>
        <w:t xml:space="preserve"> </w:t>
      </w:r>
      <w:r>
        <w:rPr>
          <w:rFonts w:ascii="Tahoma" w:hAnsi="Tahoma" w:cs="Tahoma"/>
        </w:rPr>
        <w:t>la consolidation.</w:t>
      </w:r>
    </w:p>
    <w:p w14:paraId="24697EAA" w14:textId="6D30C39E" w:rsidR="00796EA0" w:rsidRDefault="00796EA0" w:rsidP="00B41C02">
      <w:pPr>
        <w:jc w:val="both"/>
        <w:rPr>
          <w:rFonts w:ascii="Tahoma" w:hAnsi="Tahoma" w:cs="Tahoma"/>
        </w:rPr>
      </w:pPr>
      <w:r>
        <w:rPr>
          <w:rFonts w:ascii="Tahoma" w:hAnsi="Tahoma" w:cs="Tahoma"/>
        </w:rPr>
        <w:t xml:space="preserve">Plus </w:t>
      </w:r>
      <w:r w:rsidR="00C17BEF">
        <w:rPr>
          <w:rFonts w:ascii="Tahoma" w:hAnsi="Tahoma" w:cs="Tahoma"/>
        </w:rPr>
        <w:t>récemment</w:t>
      </w:r>
      <w:r>
        <w:rPr>
          <w:rFonts w:ascii="Tahoma" w:hAnsi="Tahoma" w:cs="Tahoma"/>
        </w:rPr>
        <w:t xml:space="preserve">, le contrat dérive latéralement au sein de son nuage. Une rupture haussière de ce nuage n’impliquera pas pour autant l’entrée du marché dans un environnement haussier de moyen terme. En effet pour envisager cette </w:t>
      </w:r>
      <w:r w:rsidR="00C17BEF">
        <w:rPr>
          <w:rFonts w:ascii="Tahoma" w:hAnsi="Tahoma" w:cs="Tahoma"/>
        </w:rPr>
        <w:t>éventualité</w:t>
      </w:r>
      <w:r>
        <w:rPr>
          <w:rFonts w:ascii="Tahoma" w:hAnsi="Tahoma" w:cs="Tahoma"/>
        </w:rPr>
        <w:t>, le contrat devra</w:t>
      </w:r>
      <w:r w:rsidR="002E6E56">
        <w:rPr>
          <w:rFonts w:ascii="Tahoma" w:hAnsi="Tahoma" w:cs="Tahoma"/>
        </w:rPr>
        <w:t xml:space="preserve"> dans un premier temps</w:t>
      </w:r>
      <w:r>
        <w:rPr>
          <w:rFonts w:ascii="Tahoma" w:hAnsi="Tahoma" w:cs="Tahoma"/>
        </w:rPr>
        <w:t xml:space="preserve"> dépasser le sommet de 138.46.</w:t>
      </w:r>
    </w:p>
    <w:p w14:paraId="677E4CCB" w14:textId="20366A0B" w:rsidR="00796EA0" w:rsidRDefault="00796EA0" w:rsidP="00B41C02">
      <w:pPr>
        <w:jc w:val="both"/>
        <w:rPr>
          <w:rFonts w:ascii="Tahoma" w:hAnsi="Tahoma" w:cs="Tahoma"/>
        </w:rPr>
      </w:pPr>
      <w:r>
        <w:rPr>
          <w:rFonts w:ascii="Tahoma" w:hAnsi="Tahoma" w:cs="Tahoma"/>
        </w:rPr>
        <w:t xml:space="preserve">Une </w:t>
      </w:r>
      <w:r w:rsidR="00C17BEF">
        <w:rPr>
          <w:rFonts w:ascii="Tahoma" w:hAnsi="Tahoma" w:cs="Tahoma"/>
        </w:rPr>
        <w:t>série</w:t>
      </w:r>
      <w:r>
        <w:rPr>
          <w:rFonts w:ascii="Tahoma" w:hAnsi="Tahoma" w:cs="Tahoma"/>
        </w:rPr>
        <w:t xml:space="preserve"> de résistances jalonne la route de la hausse.  132.87 qui est matérialisé par une KS</w:t>
      </w:r>
      <w:r w:rsidR="002E6E56">
        <w:rPr>
          <w:rFonts w:ascii="Tahoma" w:hAnsi="Tahoma" w:cs="Tahoma"/>
        </w:rPr>
        <w:t xml:space="preserve"> et</w:t>
      </w:r>
      <w:r>
        <w:rPr>
          <w:rFonts w:ascii="Tahoma" w:hAnsi="Tahoma" w:cs="Tahoma"/>
        </w:rPr>
        <w:t xml:space="preserve"> un plat de SSB future. Puis 133.64 visible </w:t>
      </w:r>
      <w:r w:rsidR="002E6E56">
        <w:rPr>
          <w:rFonts w:ascii="Tahoma" w:hAnsi="Tahoma" w:cs="Tahoma"/>
        </w:rPr>
        <w:t xml:space="preserve">par un </w:t>
      </w:r>
      <w:r>
        <w:rPr>
          <w:rFonts w:ascii="Tahoma" w:hAnsi="Tahoma" w:cs="Tahoma"/>
        </w:rPr>
        <w:t xml:space="preserve">plat le plat de SSB au niveau des prix et pour finir, 134.41 qui représente le plat de nuage de la LS. </w:t>
      </w:r>
    </w:p>
    <w:p w14:paraId="43296447" w14:textId="3CDE6BDF" w:rsidR="00131BB7" w:rsidRDefault="00796EA0" w:rsidP="00B41C02">
      <w:pPr>
        <w:jc w:val="both"/>
        <w:rPr>
          <w:rFonts w:ascii="Tahoma" w:hAnsi="Tahoma" w:cs="Tahoma"/>
        </w:rPr>
      </w:pPr>
      <w:r>
        <w:rPr>
          <w:rFonts w:ascii="Tahoma" w:hAnsi="Tahoma" w:cs="Tahoma"/>
        </w:rPr>
        <w:t>Cela signifie que sans mouvement acheteur déterminé pour sortir le marché de sa zone de résistanc</w:t>
      </w:r>
      <w:r w:rsidR="000F177C">
        <w:rPr>
          <w:rFonts w:ascii="Tahoma" w:hAnsi="Tahoma" w:cs="Tahoma"/>
        </w:rPr>
        <w:t xml:space="preserve">e matérialisée par le nuage, </w:t>
      </w:r>
      <w:r>
        <w:rPr>
          <w:rFonts w:ascii="Tahoma" w:hAnsi="Tahoma" w:cs="Tahoma"/>
        </w:rPr>
        <w:t xml:space="preserve">la consolidation </w:t>
      </w:r>
      <w:r w:rsidR="000F177C">
        <w:rPr>
          <w:rFonts w:ascii="Tahoma" w:hAnsi="Tahoma" w:cs="Tahoma"/>
        </w:rPr>
        <w:t>sera privilégiée.</w:t>
      </w:r>
    </w:p>
    <w:p w14:paraId="56721B4E" w14:textId="77777777" w:rsidR="00131BB7" w:rsidRDefault="00131BB7" w:rsidP="00B41C02">
      <w:pPr>
        <w:jc w:val="both"/>
        <w:rPr>
          <w:rFonts w:ascii="Tahoma" w:hAnsi="Tahoma" w:cs="Tahoma"/>
        </w:rPr>
      </w:pPr>
    </w:p>
    <w:p w14:paraId="2CACBFC4" w14:textId="77777777" w:rsidR="003F6C47" w:rsidRDefault="003F6C47" w:rsidP="00B41C02">
      <w:pPr>
        <w:jc w:val="both"/>
        <w:rPr>
          <w:rFonts w:ascii="Tahoma" w:hAnsi="Tahoma" w:cs="Tahoma"/>
        </w:rPr>
      </w:pPr>
    </w:p>
    <w:p w14:paraId="5AC26C34" w14:textId="77777777" w:rsidR="003F6C47" w:rsidRDefault="003F6C47" w:rsidP="00B41C02">
      <w:pPr>
        <w:jc w:val="both"/>
        <w:rPr>
          <w:rFonts w:ascii="Tahoma" w:hAnsi="Tahoma" w:cs="Tahoma"/>
        </w:rPr>
      </w:pPr>
    </w:p>
    <w:p w14:paraId="62D6326E" w14:textId="77777777" w:rsidR="003F6C47" w:rsidRDefault="003F6C47" w:rsidP="00B41C02">
      <w:pPr>
        <w:jc w:val="both"/>
        <w:rPr>
          <w:rFonts w:ascii="Tahoma" w:hAnsi="Tahoma" w:cs="Tahoma"/>
        </w:rPr>
      </w:pPr>
    </w:p>
    <w:p w14:paraId="5E87FF1A" w14:textId="77777777" w:rsidR="003F6C47" w:rsidRDefault="003F6C47"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2B65F96A" w:rsidR="00583BC8" w:rsidRDefault="00F13295" w:rsidP="00B41C02">
      <w:pPr>
        <w:jc w:val="both"/>
        <w:rPr>
          <w:rFonts w:ascii="Tahoma" w:hAnsi="Tahoma" w:cs="Tahoma"/>
        </w:rPr>
      </w:pPr>
      <w:r>
        <w:rPr>
          <w:noProof/>
        </w:rPr>
        <w:drawing>
          <wp:inline distT="0" distB="0" distL="0" distR="0" wp14:anchorId="4DE69F41" wp14:editId="27B6E9C7">
            <wp:extent cx="5760720" cy="4823460"/>
            <wp:effectExtent l="0" t="0" r="0" b="0"/>
            <wp:docPr id="76305278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823460"/>
                    </a:xfrm>
                    <a:prstGeom prst="rect">
                      <a:avLst/>
                    </a:prstGeom>
                    <a:noFill/>
                    <a:ln>
                      <a:noFill/>
                    </a:ln>
                  </pic:spPr>
                </pic:pic>
              </a:graphicData>
            </a:graphic>
          </wp:inline>
        </w:drawing>
      </w:r>
    </w:p>
    <w:p w14:paraId="1C769F2A" w14:textId="170BB2BA" w:rsidR="000F177C" w:rsidRDefault="000F177C" w:rsidP="00041E45">
      <w:pPr>
        <w:jc w:val="both"/>
        <w:rPr>
          <w:rFonts w:ascii="Tahoma" w:hAnsi="Tahoma" w:cs="Tahoma"/>
        </w:rPr>
      </w:pPr>
      <w:r>
        <w:rPr>
          <w:rFonts w:ascii="Tahoma" w:hAnsi="Tahoma" w:cs="Tahoma"/>
        </w:rPr>
        <w:t>J’ai essentiellement parlé de la consolidation/hausse des cours sur le moyen terme</w:t>
      </w:r>
      <w:r w:rsidR="002E6E56">
        <w:rPr>
          <w:rFonts w:ascii="Tahoma" w:hAnsi="Tahoma" w:cs="Tahoma"/>
        </w:rPr>
        <w:t>. S</w:t>
      </w:r>
      <w:r>
        <w:rPr>
          <w:rFonts w:ascii="Tahoma" w:hAnsi="Tahoma" w:cs="Tahoma"/>
        </w:rPr>
        <w:t>ur le court terme, l</w:t>
      </w:r>
      <w:r w:rsidR="002E6E56">
        <w:rPr>
          <w:rFonts w:ascii="Tahoma" w:hAnsi="Tahoma" w:cs="Tahoma"/>
        </w:rPr>
        <w:t>’éventualité d’une</w:t>
      </w:r>
      <w:r>
        <w:rPr>
          <w:rFonts w:ascii="Tahoma" w:hAnsi="Tahoma" w:cs="Tahoma"/>
        </w:rPr>
        <w:t xml:space="preserve"> baisse des prix sera étudiée. </w:t>
      </w:r>
    </w:p>
    <w:p w14:paraId="0E04A861" w14:textId="52BF0051" w:rsidR="000F177C" w:rsidRDefault="000F177C" w:rsidP="00041E45">
      <w:pPr>
        <w:jc w:val="both"/>
        <w:rPr>
          <w:rFonts w:ascii="Tahoma" w:hAnsi="Tahoma" w:cs="Tahoma"/>
        </w:rPr>
      </w:pPr>
      <w:r>
        <w:rPr>
          <w:rFonts w:ascii="Tahoma" w:hAnsi="Tahoma" w:cs="Tahoma"/>
        </w:rPr>
        <w:t>Pas de directionnelle haussier tant que le sommet de 138.46 sert de résistance. Face à ce point, ce sera le point bas récent de 126.74 qui servira de support.</w:t>
      </w:r>
      <w:r w:rsidR="007652D8">
        <w:rPr>
          <w:rFonts w:ascii="Tahoma" w:hAnsi="Tahoma" w:cs="Tahoma"/>
        </w:rPr>
        <w:t xml:space="preserve"> </w:t>
      </w:r>
      <w:r>
        <w:rPr>
          <w:rFonts w:ascii="Tahoma" w:hAnsi="Tahoma" w:cs="Tahoma"/>
        </w:rPr>
        <w:t>Très large zone de consolidation où seuls les mouvements de court terme s</w:t>
      </w:r>
      <w:r w:rsidR="007652D8">
        <w:rPr>
          <w:rFonts w:ascii="Tahoma" w:hAnsi="Tahoma" w:cs="Tahoma"/>
        </w:rPr>
        <w:t>er</w:t>
      </w:r>
      <w:r>
        <w:rPr>
          <w:rFonts w:ascii="Tahoma" w:hAnsi="Tahoma" w:cs="Tahoma"/>
        </w:rPr>
        <w:t>ont directionnels</w:t>
      </w:r>
      <w:r w:rsidR="0047305C">
        <w:rPr>
          <w:rFonts w:ascii="Tahoma" w:hAnsi="Tahoma" w:cs="Tahoma"/>
        </w:rPr>
        <w:t xml:space="preserve">. </w:t>
      </w:r>
    </w:p>
    <w:p w14:paraId="025D5C9F" w14:textId="4E226BE0" w:rsidR="003C4C1E" w:rsidRDefault="00634E57" w:rsidP="00041E45">
      <w:pPr>
        <w:jc w:val="both"/>
        <w:rPr>
          <w:rFonts w:ascii="Tahoma" w:hAnsi="Tahoma" w:cs="Tahoma"/>
        </w:rPr>
      </w:pPr>
      <w:r>
        <w:rPr>
          <w:rFonts w:ascii="Tahoma" w:hAnsi="Tahoma" w:cs="Tahoma"/>
        </w:rPr>
        <w:t xml:space="preserve">Ainsi sur le Daily, </w:t>
      </w:r>
      <w:r w:rsidR="00CE2823">
        <w:rPr>
          <w:rFonts w:ascii="Tahoma" w:hAnsi="Tahoma" w:cs="Tahoma"/>
        </w:rPr>
        <w:t xml:space="preserve">on </w:t>
      </w:r>
      <w:r w:rsidR="0047305C">
        <w:rPr>
          <w:rFonts w:ascii="Tahoma" w:hAnsi="Tahoma" w:cs="Tahoma"/>
        </w:rPr>
        <w:t xml:space="preserve">peut </w:t>
      </w:r>
      <w:r w:rsidR="00CE2823">
        <w:rPr>
          <w:rFonts w:ascii="Tahoma" w:hAnsi="Tahoma" w:cs="Tahoma"/>
        </w:rPr>
        <w:t>dessiner une dérive latérale entre 131.20 et 133.80.</w:t>
      </w:r>
      <w:r w:rsidR="003C4C1E">
        <w:rPr>
          <w:rFonts w:ascii="Tahoma" w:hAnsi="Tahoma" w:cs="Tahoma"/>
        </w:rPr>
        <w:t xml:space="preserve"> La réaction haussière de vendredi, longue bougie blanche, valide et renforce le support de 131.20. Mais en l’absence de twist de nuage, je continuerai d’utiliser ce dernier en tant que </w:t>
      </w:r>
      <w:r w:rsidR="0047305C">
        <w:rPr>
          <w:rFonts w:ascii="Tahoma" w:hAnsi="Tahoma" w:cs="Tahoma"/>
        </w:rPr>
        <w:t xml:space="preserve">zone de </w:t>
      </w:r>
      <w:r w:rsidR="003C4C1E">
        <w:rPr>
          <w:rFonts w:ascii="Tahoma" w:hAnsi="Tahoma" w:cs="Tahoma"/>
        </w:rPr>
        <w:t>résistance à la hausse.</w:t>
      </w:r>
      <w:r w:rsidR="0047305C">
        <w:rPr>
          <w:rFonts w:ascii="Tahoma" w:hAnsi="Tahoma" w:cs="Tahoma"/>
        </w:rPr>
        <w:t xml:space="preserve"> Une cassure du support de 131.20 impliquera la formation d’une nouvelle vague de baisse en direction du support de 126.74. Cette baisse de court terme restera inscrite dans une </w:t>
      </w:r>
      <w:r w:rsidR="005768DD">
        <w:rPr>
          <w:rFonts w:ascii="Tahoma" w:hAnsi="Tahoma" w:cs="Tahoma"/>
        </w:rPr>
        <w:t>logique de consolidation de moyen terme.</w:t>
      </w:r>
      <w:r w:rsidR="0047305C">
        <w:rPr>
          <w:rFonts w:ascii="Tahoma" w:hAnsi="Tahoma" w:cs="Tahoma"/>
        </w:rPr>
        <w:t xml:space="preserve"> </w:t>
      </w:r>
    </w:p>
    <w:p w14:paraId="258EB8FF" w14:textId="773EE1B7"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29756D">
        <w:rPr>
          <w:rFonts w:ascii="Tahoma" w:hAnsi="Tahoma" w:cs="Tahoma"/>
        </w:rPr>
        <w:t xml:space="preserve"> </w:t>
      </w:r>
    </w:p>
    <w:p w14:paraId="75907D24" w14:textId="6F0AD0BC" w:rsidR="00C17BEF" w:rsidRDefault="0029756D" w:rsidP="00041E45">
      <w:pPr>
        <w:jc w:val="both"/>
        <w:rPr>
          <w:rFonts w:ascii="Tahoma" w:hAnsi="Tahoma" w:cs="Tahoma"/>
        </w:rPr>
      </w:pPr>
      <w:r>
        <w:rPr>
          <w:rFonts w:ascii="Tahoma" w:hAnsi="Tahoma" w:cs="Tahoma"/>
        </w:rPr>
        <w:t xml:space="preserve">La logique de moyen terme a sorti de marché de sa tendance baissière. Consolidation ou hausse sera une des deux alternatives à cette sortie. Pour le moment, la </w:t>
      </w:r>
      <w:r w:rsidR="00C17BEF">
        <w:rPr>
          <w:rFonts w:ascii="Tahoma" w:hAnsi="Tahoma" w:cs="Tahoma"/>
        </w:rPr>
        <w:t>consolidation</w:t>
      </w:r>
      <w:r>
        <w:rPr>
          <w:rFonts w:ascii="Tahoma" w:hAnsi="Tahoma" w:cs="Tahoma"/>
        </w:rPr>
        <w:t xml:space="preserve"> est avantagée. Cela signifie que </w:t>
      </w:r>
      <w:r>
        <w:rPr>
          <w:rFonts w:ascii="Tahoma" w:hAnsi="Tahoma" w:cs="Tahoma"/>
        </w:rPr>
        <w:t xml:space="preserve">la baisse récente </w:t>
      </w:r>
      <w:r>
        <w:rPr>
          <w:rFonts w:ascii="Tahoma" w:hAnsi="Tahoma" w:cs="Tahoma"/>
        </w:rPr>
        <w:t>qui</w:t>
      </w:r>
      <w:r>
        <w:rPr>
          <w:rFonts w:ascii="Tahoma" w:hAnsi="Tahoma" w:cs="Tahoma"/>
        </w:rPr>
        <w:t xml:space="preserve"> a ramené les prix sur le point bas de 131.20</w:t>
      </w:r>
      <w:r>
        <w:rPr>
          <w:rFonts w:ascii="Tahoma" w:hAnsi="Tahoma" w:cs="Tahoma"/>
        </w:rPr>
        <w:t xml:space="preserve"> s’inscrit dans cet environnement. </w:t>
      </w:r>
      <w:r>
        <w:rPr>
          <w:rFonts w:ascii="Tahoma" w:hAnsi="Tahoma" w:cs="Tahoma"/>
        </w:rPr>
        <w:t xml:space="preserve">Le rebond qui a suivi </w:t>
      </w:r>
      <w:r w:rsidR="007652D8">
        <w:rPr>
          <w:rFonts w:ascii="Tahoma" w:hAnsi="Tahoma" w:cs="Tahoma"/>
        </w:rPr>
        <w:t>l</w:t>
      </w:r>
      <w:r>
        <w:rPr>
          <w:rFonts w:ascii="Tahoma" w:hAnsi="Tahoma" w:cs="Tahoma"/>
        </w:rPr>
        <w:t xml:space="preserve">e retour </w:t>
      </w:r>
      <w:r>
        <w:rPr>
          <w:rFonts w:ascii="Tahoma" w:hAnsi="Tahoma" w:cs="Tahoma"/>
        </w:rPr>
        <w:t xml:space="preserve">sur 131.20 </w:t>
      </w:r>
      <w:r>
        <w:rPr>
          <w:rFonts w:ascii="Tahoma" w:hAnsi="Tahoma" w:cs="Tahoma"/>
        </w:rPr>
        <w:t xml:space="preserve">renforce </w:t>
      </w:r>
      <w:r w:rsidR="007652D8">
        <w:rPr>
          <w:rFonts w:ascii="Tahoma" w:hAnsi="Tahoma" w:cs="Tahoma"/>
        </w:rPr>
        <w:t>c</w:t>
      </w:r>
      <w:r>
        <w:rPr>
          <w:rFonts w:ascii="Tahoma" w:hAnsi="Tahoma" w:cs="Tahoma"/>
        </w:rPr>
        <w:t xml:space="preserve">e point en tant que support. </w:t>
      </w:r>
      <w:r>
        <w:rPr>
          <w:rFonts w:ascii="Tahoma" w:hAnsi="Tahoma" w:cs="Tahoma"/>
        </w:rPr>
        <w:t>Il permet d’écarter pour l’instant une baisse plus soutenue en direction de 126.74.</w:t>
      </w:r>
    </w:p>
    <w:p w14:paraId="26114FF6" w14:textId="77777777" w:rsidR="007652D8" w:rsidRDefault="007652D8"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rsidSect="009C74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C3EF9"/>
    <w:rsid w:val="000D4ED3"/>
    <w:rsid w:val="000F177C"/>
    <w:rsid w:val="000F39F2"/>
    <w:rsid w:val="001018AD"/>
    <w:rsid w:val="00103ED4"/>
    <w:rsid w:val="00105B4E"/>
    <w:rsid w:val="00131BB7"/>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9756D"/>
    <w:rsid w:val="002A1F8E"/>
    <w:rsid w:val="002B5CB1"/>
    <w:rsid w:val="002C0A31"/>
    <w:rsid w:val="002E6E56"/>
    <w:rsid w:val="002F54B0"/>
    <w:rsid w:val="00303214"/>
    <w:rsid w:val="0030643B"/>
    <w:rsid w:val="00337611"/>
    <w:rsid w:val="00340FD9"/>
    <w:rsid w:val="00352DD9"/>
    <w:rsid w:val="003767E0"/>
    <w:rsid w:val="00397D3D"/>
    <w:rsid w:val="003C4C1E"/>
    <w:rsid w:val="003F6C47"/>
    <w:rsid w:val="0040171B"/>
    <w:rsid w:val="00467005"/>
    <w:rsid w:val="0047305C"/>
    <w:rsid w:val="004A2D2D"/>
    <w:rsid w:val="004A5154"/>
    <w:rsid w:val="004F48EE"/>
    <w:rsid w:val="00531928"/>
    <w:rsid w:val="005440A4"/>
    <w:rsid w:val="00546A5A"/>
    <w:rsid w:val="00566580"/>
    <w:rsid w:val="00567AF3"/>
    <w:rsid w:val="005768DD"/>
    <w:rsid w:val="00583BC8"/>
    <w:rsid w:val="00634E57"/>
    <w:rsid w:val="00654380"/>
    <w:rsid w:val="00664BE1"/>
    <w:rsid w:val="006B055C"/>
    <w:rsid w:val="006E32BB"/>
    <w:rsid w:val="006E38E0"/>
    <w:rsid w:val="00710599"/>
    <w:rsid w:val="00723F77"/>
    <w:rsid w:val="00744696"/>
    <w:rsid w:val="007652D8"/>
    <w:rsid w:val="00772067"/>
    <w:rsid w:val="0077545D"/>
    <w:rsid w:val="00796EA0"/>
    <w:rsid w:val="007A0A4B"/>
    <w:rsid w:val="007A0E6C"/>
    <w:rsid w:val="007B1237"/>
    <w:rsid w:val="007B661D"/>
    <w:rsid w:val="007D19FF"/>
    <w:rsid w:val="007D2085"/>
    <w:rsid w:val="007D4181"/>
    <w:rsid w:val="0083454A"/>
    <w:rsid w:val="00837B38"/>
    <w:rsid w:val="00896554"/>
    <w:rsid w:val="00897633"/>
    <w:rsid w:val="008A7407"/>
    <w:rsid w:val="008F10C2"/>
    <w:rsid w:val="00902D2F"/>
    <w:rsid w:val="00961FDF"/>
    <w:rsid w:val="00983B7D"/>
    <w:rsid w:val="009A37C2"/>
    <w:rsid w:val="009C74C2"/>
    <w:rsid w:val="009F3AB8"/>
    <w:rsid w:val="00A11606"/>
    <w:rsid w:val="00A6401C"/>
    <w:rsid w:val="00A81AB7"/>
    <w:rsid w:val="00AA522C"/>
    <w:rsid w:val="00AE7F3B"/>
    <w:rsid w:val="00B34260"/>
    <w:rsid w:val="00B41C02"/>
    <w:rsid w:val="00B4335A"/>
    <w:rsid w:val="00B50E38"/>
    <w:rsid w:val="00B5213E"/>
    <w:rsid w:val="00B554B8"/>
    <w:rsid w:val="00B64EE0"/>
    <w:rsid w:val="00B94D71"/>
    <w:rsid w:val="00BB0E32"/>
    <w:rsid w:val="00BB6D9D"/>
    <w:rsid w:val="00BC77A5"/>
    <w:rsid w:val="00BD3FC1"/>
    <w:rsid w:val="00C17BEF"/>
    <w:rsid w:val="00C17ED7"/>
    <w:rsid w:val="00C41F15"/>
    <w:rsid w:val="00C70171"/>
    <w:rsid w:val="00C70A68"/>
    <w:rsid w:val="00C82E98"/>
    <w:rsid w:val="00C82EF6"/>
    <w:rsid w:val="00CB17C9"/>
    <w:rsid w:val="00CC72FF"/>
    <w:rsid w:val="00CC7C21"/>
    <w:rsid w:val="00CE0886"/>
    <w:rsid w:val="00CE2823"/>
    <w:rsid w:val="00CF2516"/>
    <w:rsid w:val="00CF6D63"/>
    <w:rsid w:val="00D23B28"/>
    <w:rsid w:val="00D46C8D"/>
    <w:rsid w:val="00DA1359"/>
    <w:rsid w:val="00DE5444"/>
    <w:rsid w:val="00DF072F"/>
    <w:rsid w:val="00E32014"/>
    <w:rsid w:val="00E3727C"/>
    <w:rsid w:val="00EB58BA"/>
    <w:rsid w:val="00EE6B93"/>
    <w:rsid w:val="00F04A6E"/>
    <w:rsid w:val="00F04DEF"/>
    <w:rsid w:val="00F13295"/>
    <w:rsid w:val="00F31070"/>
    <w:rsid w:val="00F53F10"/>
    <w:rsid w:val="00F636F8"/>
    <w:rsid w:val="00F840A4"/>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3</Pages>
  <Words>519</Words>
  <Characters>2856</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116</cp:revision>
  <dcterms:created xsi:type="dcterms:W3CDTF">2021-11-25T09:44:00Z</dcterms:created>
  <dcterms:modified xsi:type="dcterms:W3CDTF">2024-04-14T14:24:00Z</dcterms:modified>
</cp:coreProperties>
</file>