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7EE7C3CB" w:rsidR="00902D2F" w:rsidRPr="00041E45" w:rsidRDefault="00CD0559" w:rsidP="00B41C02">
      <w:pPr>
        <w:jc w:val="both"/>
        <w:rPr>
          <w:rFonts w:ascii="Tahoma" w:hAnsi="Tahoma" w:cs="Tahoma"/>
          <w:sz w:val="32"/>
          <w:szCs w:val="32"/>
          <w:u w:val="single"/>
        </w:rPr>
      </w:pPr>
      <w:r>
        <w:rPr>
          <w:rFonts w:ascii="Tahoma" w:hAnsi="Tahoma" w:cs="Tahoma"/>
          <w:sz w:val="32"/>
          <w:szCs w:val="32"/>
          <w:u w:val="single"/>
        </w:rPr>
        <w:t>Month</w:t>
      </w:r>
    </w:p>
    <w:p w14:paraId="685822D0" w14:textId="17522FCE" w:rsidR="006E32BB" w:rsidRDefault="00CD0559" w:rsidP="00B41C02">
      <w:pPr>
        <w:jc w:val="both"/>
        <w:rPr>
          <w:rFonts w:ascii="Tahoma" w:hAnsi="Tahoma" w:cs="Tahoma"/>
        </w:rPr>
      </w:pPr>
      <w:r>
        <w:rPr>
          <w:noProof/>
        </w:rPr>
        <w:drawing>
          <wp:inline distT="0" distB="0" distL="0" distR="0" wp14:anchorId="3B59FA7B" wp14:editId="17C69199">
            <wp:extent cx="5760720" cy="4434840"/>
            <wp:effectExtent l="0" t="0" r="0" b="3810"/>
            <wp:docPr id="2956000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434840"/>
                    </a:xfrm>
                    <a:prstGeom prst="rect">
                      <a:avLst/>
                    </a:prstGeom>
                    <a:noFill/>
                    <a:ln>
                      <a:noFill/>
                    </a:ln>
                  </pic:spPr>
                </pic:pic>
              </a:graphicData>
            </a:graphic>
          </wp:inline>
        </w:drawing>
      </w:r>
    </w:p>
    <w:p w14:paraId="7AC4D2D2" w14:textId="11ACB31B"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CD0559">
        <w:rPr>
          <w:rFonts w:ascii="Tahoma" w:hAnsi="Tahoma" w:cs="Tahoma"/>
        </w:rPr>
        <w:t>a dernière chandelle qui reprend l’évolution du contrat Bund sur le moi</w:t>
      </w:r>
      <w:r w:rsidR="00500B33">
        <w:rPr>
          <w:rFonts w:ascii="Tahoma" w:hAnsi="Tahoma" w:cs="Tahoma"/>
        </w:rPr>
        <w:t>s</w:t>
      </w:r>
      <w:r w:rsidR="00CD0559">
        <w:rPr>
          <w:rFonts w:ascii="Tahoma" w:hAnsi="Tahoma" w:cs="Tahoma"/>
        </w:rPr>
        <w:t xml:space="preserve"> d’avril prolonge </w:t>
      </w:r>
      <w:r w:rsidR="00FA42FD">
        <w:rPr>
          <w:rFonts w:ascii="Tahoma" w:hAnsi="Tahoma" w:cs="Tahoma"/>
        </w:rPr>
        <w:t>un peu</w:t>
      </w:r>
      <w:r w:rsidR="00CD0559">
        <w:rPr>
          <w:rFonts w:ascii="Tahoma" w:hAnsi="Tahoma" w:cs="Tahoma"/>
        </w:rPr>
        <w:t xml:space="preserve"> plus la baisse qui a débuté en janvier.</w:t>
      </w:r>
    </w:p>
    <w:p w14:paraId="17CA563A" w14:textId="2CF63FC8" w:rsidR="00CD0559" w:rsidRDefault="00CD0559" w:rsidP="00B41C02">
      <w:pPr>
        <w:jc w:val="both"/>
        <w:rPr>
          <w:rFonts w:ascii="Tahoma" w:hAnsi="Tahoma" w:cs="Tahoma"/>
        </w:rPr>
      </w:pPr>
      <w:r>
        <w:rPr>
          <w:rFonts w:ascii="Tahoma" w:hAnsi="Tahoma" w:cs="Tahoma"/>
        </w:rPr>
        <w:t xml:space="preserve">La rupture des 61.8% de retracement de la précédente hausse, laisse peu de place à un rebond des prix. </w:t>
      </w:r>
    </w:p>
    <w:p w14:paraId="6F3EC01C" w14:textId="13DDF117" w:rsidR="00CD0559" w:rsidRDefault="00CD0559" w:rsidP="00B41C02">
      <w:pPr>
        <w:jc w:val="both"/>
        <w:rPr>
          <w:rFonts w:ascii="Tahoma" w:hAnsi="Tahoma" w:cs="Tahoma"/>
        </w:rPr>
      </w:pPr>
      <w:r>
        <w:rPr>
          <w:rFonts w:ascii="Tahoma" w:hAnsi="Tahoma" w:cs="Tahoma"/>
        </w:rPr>
        <w:t>La cible se situe maintenant sur le bas récent de 126.</w:t>
      </w:r>
      <w:r w:rsidR="00500B33">
        <w:rPr>
          <w:rFonts w:ascii="Tahoma" w:hAnsi="Tahoma" w:cs="Tahoma"/>
        </w:rPr>
        <w:t xml:space="preserve">71. Elle reprend la base de la formation </w:t>
      </w:r>
      <w:r w:rsidR="00FA42FD">
        <w:rPr>
          <w:rFonts w:ascii="Tahoma" w:hAnsi="Tahoma" w:cs="Tahoma"/>
        </w:rPr>
        <w:t xml:space="preserve">haussière </w:t>
      </w:r>
      <w:r w:rsidR="00500B33">
        <w:rPr>
          <w:rFonts w:ascii="Tahoma" w:hAnsi="Tahoma" w:cs="Tahoma"/>
        </w:rPr>
        <w:t>en étoile du matin, issue de</w:t>
      </w:r>
      <w:r w:rsidR="00A777D9">
        <w:rPr>
          <w:rFonts w:ascii="Tahoma" w:hAnsi="Tahoma" w:cs="Tahoma"/>
        </w:rPr>
        <w:t xml:space="preserve"> la dynamique des prix de la fin de l’année 2023. Tant que le contrat ne s’établira pas durablement </w:t>
      </w:r>
      <w:r w:rsidR="001B25B8">
        <w:rPr>
          <w:rFonts w:ascii="Tahoma" w:hAnsi="Tahoma" w:cs="Tahoma"/>
        </w:rPr>
        <w:t>au-dessus</w:t>
      </w:r>
      <w:r w:rsidR="00A777D9">
        <w:rPr>
          <w:rFonts w:ascii="Tahoma" w:hAnsi="Tahoma" w:cs="Tahoma"/>
        </w:rPr>
        <w:t xml:space="preserve"> de 131.18, les vendeurs continueront </w:t>
      </w:r>
      <w:r w:rsidR="00FA42FD">
        <w:rPr>
          <w:rFonts w:ascii="Tahoma" w:hAnsi="Tahoma" w:cs="Tahoma"/>
        </w:rPr>
        <w:t xml:space="preserve">à </w:t>
      </w:r>
      <w:r w:rsidR="00551EF4">
        <w:rPr>
          <w:rFonts w:ascii="Tahoma" w:hAnsi="Tahoma" w:cs="Tahoma"/>
        </w:rPr>
        <w:t>dominer le marché, poussant les prix vers le bas.</w:t>
      </w:r>
    </w:p>
    <w:p w14:paraId="2C684515" w14:textId="54081FB7" w:rsidR="006B324B" w:rsidRDefault="006B324B" w:rsidP="00B41C02">
      <w:pPr>
        <w:jc w:val="both"/>
        <w:rPr>
          <w:rFonts w:ascii="Tahoma" w:hAnsi="Tahoma" w:cs="Tahoma"/>
        </w:rPr>
      </w:pPr>
      <w:r>
        <w:rPr>
          <w:rFonts w:ascii="Tahoma" w:hAnsi="Tahoma" w:cs="Tahoma"/>
        </w:rPr>
        <w:t xml:space="preserve">Sur le long terme, la position des cours et de la LS sous leur nuage respectif indique que la tendance est pour le moment baissière. Mais les plats qui se développent </w:t>
      </w:r>
      <w:r w:rsidR="005C2650">
        <w:rPr>
          <w:rFonts w:ascii="Tahoma" w:hAnsi="Tahoma" w:cs="Tahoma"/>
        </w:rPr>
        <w:t xml:space="preserve">notamment </w:t>
      </w:r>
      <w:r>
        <w:rPr>
          <w:rFonts w:ascii="Tahoma" w:hAnsi="Tahoma" w:cs="Tahoma"/>
        </w:rPr>
        <w:t>au niveau de la TS</w:t>
      </w:r>
      <w:r w:rsidR="005C2650">
        <w:rPr>
          <w:rFonts w:ascii="Tahoma" w:hAnsi="Tahoma" w:cs="Tahoma"/>
        </w:rPr>
        <w:t>, voir</w:t>
      </w:r>
      <w:r w:rsidR="00FA42FD">
        <w:rPr>
          <w:rFonts w:ascii="Tahoma" w:hAnsi="Tahoma" w:cs="Tahoma"/>
        </w:rPr>
        <w:t>e de</w:t>
      </w:r>
      <w:r w:rsidR="005C2650">
        <w:rPr>
          <w:rFonts w:ascii="Tahoma" w:hAnsi="Tahoma" w:cs="Tahoma"/>
        </w:rPr>
        <w:t xml:space="preserve"> </w:t>
      </w:r>
      <w:r>
        <w:rPr>
          <w:rFonts w:ascii="Tahoma" w:hAnsi="Tahoma" w:cs="Tahoma"/>
        </w:rPr>
        <w:t>la LS nous indiquent que le marché n’est plus en mouvement.</w:t>
      </w:r>
      <w:r w:rsidR="005C2650">
        <w:rPr>
          <w:rFonts w:ascii="Tahoma" w:hAnsi="Tahoma" w:cs="Tahoma"/>
        </w:rPr>
        <w:t xml:space="preserve"> Cette situation limite le potentiel de baisse au support de 126.71 et s’associe </w:t>
      </w:r>
      <w:r w:rsidR="00D95D88">
        <w:rPr>
          <w:rFonts w:ascii="Tahoma" w:hAnsi="Tahoma" w:cs="Tahoma"/>
        </w:rPr>
        <w:t xml:space="preserve">au </w:t>
      </w:r>
      <w:r w:rsidR="001B25B8">
        <w:rPr>
          <w:rFonts w:ascii="Tahoma" w:hAnsi="Tahoma" w:cs="Tahoma"/>
        </w:rPr>
        <w:t>contexte</w:t>
      </w:r>
      <w:r w:rsidR="005C2650">
        <w:rPr>
          <w:rFonts w:ascii="Tahoma" w:hAnsi="Tahoma" w:cs="Tahoma"/>
        </w:rPr>
        <w:t xml:space="preserve"> </w:t>
      </w:r>
      <w:r w:rsidR="001B25B8">
        <w:rPr>
          <w:rFonts w:ascii="Tahoma" w:hAnsi="Tahoma" w:cs="Tahoma"/>
        </w:rPr>
        <w:t>de l</w:t>
      </w:r>
      <w:r>
        <w:rPr>
          <w:rFonts w:ascii="Tahoma" w:hAnsi="Tahoma" w:cs="Tahoma"/>
        </w:rPr>
        <w:t>’analyse hebdoma</w:t>
      </w:r>
      <w:r w:rsidR="001B25B8">
        <w:rPr>
          <w:rFonts w:ascii="Tahoma" w:hAnsi="Tahoma" w:cs="Tahoma"/>
        </w:rPr>
        <w:t>daire ou les twists du nuage futur ont sorti le marché de son orientation baissière.</w:t>
      </w:r>
    </w:p>
    <w:p w14:paraId="10BB9766" w14:textId="1C8C4B2E" w:rsidR="00723F77" w:rsidRDefault="001B25B8" w:rsidP="00041E45">
      <w:pPr>
        <w:jc w:val="both"/>
        <w:rPr>
          <w:rFonts w:ascii="Tahoma" w:hAnsi="Tahoma" w:cs="Tahoma"/>
        </w:rPr>
      </w:pPr>
      <w:r>
        <w:rPr>
          <w:rFonts w:ascii="Tahoma" w:hAnsi="Tahoma" w:cs="Tahoma"/>
        </w:rPr>
        <w:t>Le plat de TS de 132.60 servira de pivot et d’indicateur pour le mois à venir. Ainsi un maintien sous ce point avantagera une poursuite de la baisse. Un dépassement favorisera un retour sur le sommet récent de 138.46</w:t>
      </w:r>
      <w:r w:rsidR="00D95D88">
        <w:rPr>
          <w:rFonts w:ascii="Tahoma" w:hAnsi="Tahoma" w:cs="Tahoma"/>
        </w:rPr>
        <w:t>.</w:t>
      </w:r>
    </w:p>
    <w:p w14:paraId="258EB8FF" w14:textId="44E9B8D3" w:rsidR="00B94D71" w:rsidRDefault="00B94D71" w:rsidP="00B94D71">
      <w:pPr>
        <w:jc w:val="both"/>
        <w:rPr>
          <w:rFonts w:ascii="Tahoma" w:hAnsi="Tahoma" w:cs="Tahoma"/>
        </w:rPr>
      </w:pPr>
      <w:r>
        <w:rPr>
          <w:rFonts w:ascii="Tahoma" w:hAnsi="Tahoma" w:cs="Tahoma"/>
          <w:u w:val="single"/>
        </w:rPr>
        <w:lastRenderedPageBreak/>
        <w:t>CONCLUSION</w:t>
      </w:r>
      <w:r>
        <w:rPr>
          <w:rFonts w:ascii="Tahoma" w:hAnsi="Tahoma" w:cs="Tahoma"/>
        </w:rPr>
        <w:t> :</w:t>
      </w:r>
      <w:r w:rsidR="001B25B8">
        <w:rPr>
          <w:rFonts w:ascii="Tahoma" w:hAnsi="Tahoma" w:cs="Tahoma"/>
        </w:rPr>
        <w:t xml:space="preserve"> La remise en question de l’étoile du matin de la fin de l’année devrait se limiter au support récent de 126.71. Domination des vendeurs sous 131.18 et pas de courant haussier sous 132.60. </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95F57"/>
    <w:rsid w:val="000B221E"/>
    <w:rsid w:val="000B7DFC"/>
    <w:rsid w:val="000C0DE4"/>
    <w:rsid w:val="000D4ED3"/>
    <w:rsid w:val="001018AD"/>
    <w:rsid w:val="00103ED4"/>
    <w:rsid w:val="00105B4E"/>
    <w:rsid w:val="00134AFA"/>
    <w:rsid w:val="00135766"/>
    <w:rsid w:val="0014687D"/>
    <w:rsid w:val="0015581D"/>
    <w:rsid w:val="00163C46"/>
    <w:rsid w:val="001705F4"/>
    <w:rsid w:val="00190995"/>
    <w:rsid w:val="001A4796"/>
    <w:rsid w:val="001B25B8"/>
    <w:rsid w:val="001D474B"/>
    <w:rsid w:val="001F650A"/>
    <w:rsid w:val="002003AD"/>
    <w:rsid w:val="002421FE"/>
    <w:rsid w:val="00262E25"/>
    <w:rsid w:val="00263ED0"/>
    <w:rsid w:val="002A1F8E"/>
    <w:rsid w:val="002B5CB1"/>
    <w:rsid w:val="002C0A31"/>
    <w:rsid w:val="002F54B0"/>
    <w:rsid w:val="00303214"/>
    <w:rsid w:val="0030643B"/>
    <w:rsid w:val="00337611"/>
    <w:rsid w:val="00340FD9"/>
    <w:rsid w:val="00352DD9"/>
    <w:rsid w:val="003767E0"/>
    <w:rsid w:val="00397D3D"/>
    <w:rsid w:val="0040171B"/>
    <w:rsid w:val="00467005"/>
    <w:rsid w:val="004A2D2D"/>
    <w:rsid w:val="004A5154"/>
    <w:rsid w:val="004F48EE"/>
    <w:rsid w:val="00500B33"/>
    <w:rsid w:val="00531928"/>
    <w:rsid w:val="005440A4"/>
    <w:rsid w:val="00546A5A"/>
    <w:rsid w:val="00551EF4"/>
    <w:rsid w:val="00566580"/>
    <w:rsid w:val="00567AF3"/>
    <w:rsid w:val="00583BC8"/>
    <w:rsid w:val="005C2650"/>
    <w:rsid w:val="00654380"/>
    <w:rsid w:val="00664BE1"/>
    <w:rsid w:val="006B055C"/>
    <w:rsid w:val="006B324B"/>
    <w:rsid w:val="006E32BB"/>
    <w:rsid w:val="006E38E0"/>
    <w:rsid w:val="00710599"/>
    <w:rsid w:val="00723F77"/>
    <w:rsid w:val="00744696"/>
    <w:rsid w:val="00772067"/>
    <w:rsid w:val="0077545D"/>
    <w:rsid w:val="007A0A4B"/>
    <w:rsid w:val="007A0E6C"/>
    <w:rsid w:val="007B1237"/>
    <w:rsid w:val="007B661D"/>
    <w:rsid w:val="007D19FF"/>
    <w:rsid w:val="007D2085"/>
    <w:rsid w:val="007D4181"/>
    <w:rsid w:val="0083454A"/>
    <w:rsid w:val="00837B38"/>
    <w:rsid w:val="00896554"/>
    <w:rsid w:val="008A7407"/>
    <w:rsid w:val="008F10C2"/>
    <w:rsid w:val="00902D2F"/>
    <w:rsid w:val="00961FDF"/>
    <w:rsid w:val="00983B7D"/>
    <w:rsid w:val="009A37C2"/>
    <w:rsid w:val="009F3AB8"/>
    <w:rsid w:val="00A11606"/>
    <w:rsid w:val="00A6401C"/>
    <w:rsid w:val="00A777D9"/>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D0559"/>
    <w:rsid w:val="00CE0886"/>
    <w:rsid w:val="00CF2516"/>
    <w:rsid w:val="00CF6D63"/>
    <w:rsid w:val="00D23B28"/>
    <w:rsid w:val="00D46C8D"/>
    <w:rsid w:val="00D95D88"/>
    <w:rsid w:val="00DA1359"/>
    <w:rsid w:val="00DA2F2C"/>
    <w:rsid w:val="00DE5444"/>
    <w:rsid w:val="00DF072F"/>
    <w:rsid w:val="00E32014"/>
    <w:rsid w:val="00E3727C"/>
    <w:rsid w:val="00EB58BA"/>
    <w:rsid w:val="00EE6B93"/>
    <w:rsid w:val="00F04A6E"/>
    <w:rsid w:val="00F04DEF"/>
    <w:rsid w:val="00F31070"/>
    <w:rsid w:val="00F53F10"/>
    <w:rsid w:val="00F636F8"/>
    <w:rsid w:val="00FA2C8E"/>
    <w:rsid w:val="00FA42FD"/>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601</TotalTime>
  <Pages>2</Pages>
  <Words>367</Words>
  <Characters>2023</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102</cp:revision>
  <dcterms:created xsi:type="dcterms:W3CDTF">2021-11-25T09:44:00Z</dcterms:created>
  <dcterms:modified xsi:type="dcterms:W3CDTF">2024-05-01T13:03:00Z</dcterms:modified>
</cp:coreProperties>
</file>