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40759686" w:rsidR="00902D2F" w:rsidRDefault="00FB1B6C" w:rsidP="00B41C02">
      <w:pPr>
        <w:jc w:val="both"/>
        <w:rPr>
          <w:rFonts w:ascii="Tahoma" w:hAnsi="Tahoma" w:cs="Tahoma"/>
        </w:rPr>
      </w:pPr>
      <w:r>
        <w:rPr>
          <w:noProof/>
        </w:rPr>
        <w:drawing>
          <wp:inline distT="0" distB="0" distL="0" distR="0" wp14:anchorId="36A87180" wp14:editId="626290C1">
            <wp:extent cx="5760720" cy="4320540"/>
            <wp:effectExtent l="0" t="0" r="0" b="3810"/>
            <wp:docPr id="134129403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52246CF7"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1A4796">
        <w:rPr>
          <w:rFonts w:ascii="Tahoma" w:hAnsi="Tahoma" w:cs="Tahoma"/>
        </w:rPr>
        <w:t>a</w:t>
      </w:r>
      <w:r w:rsidR="00FB1B6C">
        <w:rPr>
          <w:rFonts w:ascii="Tahoma" w:hAnsi="Tahoma" w:cs="Tahoma"/>
        </w:rPr>
        <w:t xml:space="preserve"> dernière chandelle n’a pas de personnalité particulière. Avec </w:t>
      </w:r>
      <w:r w:rsidR="003B7346">
        <w:rPr>
          <w:rFonts w:ascii="Tahoma" w:hAnsi="Tahoma" w:cs="Tahoma"/>
        </w:rPr>
        <w:t>ses mèches relativement longues</w:t>
      </w:r>
      <w:r w:rsidR="00FB1B6C">
        <w:rPr>
          <w:rFonts w:ascii="Tahoma" w:hAnsi="Tahoma" w:cs="Tahoma"/>
        </w:rPr>
        <w:t xml:space="preserve"> par rapport à son corps vrai, elle s’inscrit dans la même dynamique que la semaine précédente.</w:t>
      </w:r>
    </w:p>
    <w:p w14:paraId="50A30AAE" w14:textId="2DF0DFAF" w:rsidR="00050EE2" w:rsidRDefault="00A700C6" w:rsidP="00B41C02">
      <w:pPr>
        <w:jc w:val="both"/>
        <w:rPr>
          <w:rFonts w:ascii="Tahoma" w:hAnsi="Tahoma" w:cs="Tahoma"/>
        </w:rPr>
      </w:pPr>
      <w:r>
        <w:rPr>
          <w:rFonts w:ascii="Tahoma" w:hAnsi="Tahoma" w:cs="Tahoma"/>
        </w:rPr>
        <w:t xml:space="preserve">Mais la fusion de ces deux derniers chandeliers </w:t>
      </w:r>
      <w:r w:rsidR="00554047">
        <w:rPr>
          <w:rFonts w:ascii="Tahoma" w:hAnsi="Tahoma" w:cs="Tahoma"/>
        </w:rPr>
        <w:t xml:space="preserve">donne </w:t>
      </w:r>
      <w:r w:rsidR="0077741E">
        <w:rPr>
          <w:rFonts w:ascii="Tahoma" w:hAnsi="Tahoma" w:cs="Tahoma"/>
        </w:rPr>
        <w:t>un</w:t>
      </w:r>
      <w:r w:rsidR="00554047">
        <w:rPr>
          <w:rFonts w:ascii="Tahoma" w:hAnsi="Tahoma" w:cs="Tahoma"/>
        </w:rPr>
        <w:t xml:space="preserve"> doji</w:t>
      </w:r>
      <w:r w:rsidR="00CE2ECC">
        <w:rPr>
          <w:rFonts w:ascii="Tahoma" w:hAnsi="Tahoma" w:cs="Tahoma"/>
        </w:rPr>
        <w:t xml:space="preserve">. </w:t>
      </w:r>
      <w:r w:rsidR="0077741E">
        <w:rPr>
          <w:rFonts w:ascii="Tahoma" w:hAnsi="Tahoma" w:cs="Tahoma"/>
        </w:rPr>
        <w:t>Comparé</w:t>
      </w:r>
      <w:r w:rsidR="00CE2ECC">
        <w:rPr>
          <w:rFonts w:ascii="Tahoma" w:hAnsi="Tahoma" w:cs="Tahoma"/>
        </w:rPr>
        <w:t xml:space="preserve"> à la dimension de son </w:t>
      </w:r>
      <w:r w:rsidR="00554047">
        <w:rPr>
          <w:rFonts w:ascii="Tahoma" w:hAnsi="Tahoma" w:cs="Tahoma"/>
        </w:rPr>
        <w:t>ombre haute et basse</w:t>
      </w:r>
      <w:r w:rsidR="00CE2ECC">
        <w:rPr>
          <w:rFonts w:ascii="Tahoma" w:hAnsi="Tahoma" w:cs="Tahoma"/>
        </w:rPr>
        <w:t>,</w:t>
      </w:r>
      <w:r w:rsidR="0077741E">
        <w:rPr>
          <w:rFonts w:ascii="Tahoma" w:hAnsi="Tahoma" w:cs="Tahoma"/>
        </w:rPr>
        <w:t xml:space="preserve"> la taille de </w:t>
      </w:r>
      <w:r w:rsidR="00CE2ECC">
        <w:rPr>
          <w:rFonts w:ascii="Tahoma" w:hAnsi="Tahoma" w:cs="Tahoma"/>
        </w:rPr>
        <w:t>ce doji indique le manque de conviction forte quant à la poursuite du mouvement de baisse.</w:t>
      </w:r>
    </w:p>
    <w:p w14:paraId="21EA1413" w14:textId="171E6409" w:rsidR="00A700C6" w:rsidRDefault="00050EE2" w:rsidP="00B41C02">
      <w:pPr>
        <w:jc w:val="both"/>
        <w:rPr>
          <w:rFonts w:ascii="Tahoma" w:hAnsi="Tahoma" w:cs="Tahoma"/>
        </w:rPr>
      </w:pPr>
      <w:r>
        <w:rPr>
          <w:rFonts w:ascii="Tahoma" w:hAnsi="Tahoma" w:cs="Tahoma"/>
        </w:rPr>
        <w:t>Ces bougies trace</w:t>
      </w:r>
      <w:r w:rsidR="00AB60B0">
        <w:rPr>
          <w:rFonts w:ascii="Tahoma" w:hAnsi="Tahoma" w:cs="Tahoma"/>
        </w:rPr>
        <w:t>nt</w:t>
      </w:r>
      <w:r>
        <w:rPr>
          <w:rFonts w:ascii="Tahoma" w:hAnsi="Tahoma" w:cs="Tahoma"/>
        </w:rPr>
        <w:t xml:space="preserve"> un support intermédiaire sur 129.53, point qu’il faudra dorénavant dépasser pour envisager le retour des prix sur le bas de 126.71.</w:t>
      </w:r>
      <w:r w:rsidR="00554047">
        <w:rPr>
          <w:rFonts w:ascii="Tahoma" w:hAnsi="Tahoma" w:cs="Tahoma"/>
        </w:rPr>
        <w:t xml:space="preserve"> </w:t>
      </w:r>
    </w:p>
    <w:p w14:paraId="5E75C1F3" w14:textId="63DC2CDD" w:rsidR="00AA37C3" w:rsidRDefault="00AA37C3" w:rsidP="00B41C02">
      <w:pPr>
        <w:jc w:val="both"/>
        <w:rPr>
          <w:rFonts w:ascii="Tahoma" w:hAnsi="Tahoma" w:cs="Tahoma"/>
        </w:rPr>
      </w:pPr>
      <w:r>
        <w:rPr>
          <w:rFonts w:ascii="Tahoma" w:hAnsi="Tahoma" w:cs="Tahoma"/>
        </w:rPr>
        <w:t xml:space="preserve">Pour la semaine à venir, la borne basse du nuage (SSA) se situera sur 130.09. Dans ce contexte, </w:t>
      </w:r>
      <w:r w:rsidR="001F5CF5">
        <w:rPr>
          <w:rFonts w:ascii="Tahoma" w:hAnsi="Tahoma" w:cs="Tahoma"/>
        </w:rPr>
        <w:t>sa</w:t>
      </w:r>
      <w:r>
        <w:rPr>
          <w:rFonts w:ascii="Tahoma" w:hAnsi="Tahoma" w:cs="Tahoma"/>
        </w:rPr>
        <w:t xml:space="preserve"> cassure sera </w:t>
      </w:r>
      <w:r w:rsidR="003B7346">
        <w:rPr>
          <w:rFonts w:ascii="Tahoma" w:hAnsi="Tahoma" w:cs="Tahoma"/>
        </w:rPr>
        <w:t>nécessaire</w:t>
      </w:r>
      <w:r>
        <w:rPr>
          <w:rFonts w:ascii="Tahoma" w:hAnsi="Tahoma" w:cs="Tahoma"/>
        </w:rPr>
        <w:t xml:space="preserve"> pour envisager un retour suivi d’une cassure  </w:t>
      </w:r>
      <w:r w:rsidR="0077741E">
        <w:rPr>
          <w:rFonts w:ascii="Tahoma" w:hAnsi="Tahoma" w:cs="Tahoma"/>
        </w:rPr>
        <w:t xml:space="preserve">de </w:t>
      </w:r>
      <w:r>
        <w:rPr>
          <w:rFonts w:ascii="Tahoma" w:hAnsi="Tahoma" w:cs="Tahoma"/>
        </w:rPr>
        <w:t xml:space="preserve">129.53. </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67664CB7" w:rsidR="00583BC8" w:rsidRDefault="002073C1" w:rsidP="00B41C02">
      <w:pPr>
        <w:jc w:val="both"/>
        <w:rPr>
          <w:rFonts w:ascii="Tahoma" w:hAnsi="Tahoma" w:cs="Tahoma"/>
        </w:rPr>
      </w:pPr>
      <w:r>
        <w:rPr>
          <w:noProof/>
        </w:rPr>
        <w:lastRenderedPageBreak/>
        <w:drawing>
          <wp:inline distT="0" distB="0" distL="0" distR="0" wp14:anchorId="26A8A172" wp14:editId="5C79B44A">
            <wp:extent cx="5760720" cy="4320540"/>
            <wp:effectExtent l="0" t="0" r="0" b="3810"/>
            <wp:docPr id="89813466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10BB9766" w14:textId="1CDF9A4C" w:rsidR="00723F77" w:rsidRDefault="00AA37C3" w:rsidP="00041E45">
      <w:pPr>
        <w:jc w:val="both"/>
        <w:rPr>
          <w:rFonts w:ascii="Tahoma" w:hAnsi="Tahoma" w:cs="Tahoma"/>
        </w:rPr>
      </w:pPr>
      <w:r>
        <w:rPr>
          <w:rFonts w:ascii="Tahoma" w:hAnsi="Tahoma" w:cs="Tahoma"/>
        </w:rPr>
        <w:t xml:space="preserve">La dernière bougie de vendredi aurait pu </w:t>
      </w:r>
      <w:r w:rsidR="003B7346">
        <w:rPr>
          <w:rFonts w:ascii="Tahoma" w:hAnsi="Tahoma" w:cs="Tahoma"/>
        </w:rPr>
        <w:t>être</w:t>
      </w:r>
      <w:r>
        <w:rPr>
          <w:rFonts w:ascii="Tahoma" w:hAnsi="Tahoma" w:cs="Tahoma"/>
        </w:rPr>
        <w:t xml:space="preserve"> positive pour la suite si elle n’avait pas une mèche haute aussi longue.</w:t>
      </w:r>
      <w:r w:rsidR="00BC1E32">
        <w:rPr>
          <w:rFonts w:ascii="Tahoma" w:hAnsi="Tahoma" w:cs="Tahoma"/>
        </w:rPr>
        <w:t xml:space="preserve"> </w:t>
      </w:r>
      <w:r w:rsidR="003B7346">
        <w:rPr>
          <w:rFonts w:ascii="Tahoma" w:hAnsi="Tahoma" w:cs="Tahoma"/>
        </w:rPr>
        <w:t>Dans une logique de transversalité des marchés, c</w:t>
      </w:r>
      <w:r w:rsidR="00BC1E32">
        <w:rPr>
          <w:rFonts w:ascii="Tahoma" w:hAnsi="Tahoma" w:cs="Tahoma"/>
        </w:rPr>
        <w:t xml:space="preserve">ette bougie résulte </w:t>
      </w:r>
      <w:r w:rsidR="003B7346">
        <w:rPr>
          <w:rFonts w:ascii="Tahoma" w:hAnsi="Tahoma" w:cs="Tahoma"/>
        </w:rPr>
        <w:t>de la sortie de chiffres sur</w:t>
      </w:r>
      <w:r w:rsidR="00BC1E32">
        <w:rPr>
          <w:rFonts w:ascii="Tahoma" w:hAnsi="Tahoma" w:cs="Tahoma"/>
        </w:rPr>
        <w:t xml:space="preserve"> l’emploi US et </w:t>
      </w:r>
      <w:r w:rsidR="003B7346">
        <w:rPr>
          <w:rFonts w:ascii="Tahoma" w:hAnsi="Tahoma" w:cs="Tahoma"/>
        </w:rPr>
        <w:t xml:space="preserve">de </w:t>
      </w:r>
      <w:r w:rsidR="00BC1E32">
        <w:rPr>
          <w:rFonts w:ascii="Tahoma" w:hAnsi="Tahoma" w:cs="Tahoma"/>
        </w:rPr>
        <w:t>son impact sur la politique monétaire aux USA. La hausse suivi</w:t>
      </w:r>
      <w:r w:rsidR="00AB60B0">
        <w:rPr>
          <w:rFonts w:ascii="Tahoma" w:hAnsi="Tahoma" w:cs="Tahoma"/>
        </w:rPr>
        <w:t>e</w:t>
      </w:r>
      <w:r w:rsidR="00BC1E32">
        <w:rPr>
          <w:rFonts w:ascii="Tahoma" w:hAnsi="Tahoma" w:cs="Tahoma"/>
        </w:rPr>
        <w:t xml:space="preserve"> </w:t>
      </w:r>
      <w:r w:rsidR="00AB60B0">
        <w:rPr>
          <w:rFonts w:ascii="Tahoma" w:hAnsi="Tahoma" w:cs="Tahoma"/>
        </w:rPr>
        <w:t>par</w:t>
      </w:r>
      <w:r w:rsidR="00BC1E32">
        <w:rPr>
          <w:rFonts w:ascii="Tahoma" w:hAnsi="Tahoma" w:cs="Tahoma"/>
        </w:rPr>
        <w:t xml:space="preserve"> la baisse montre que </w:t>
      </w:r>
      <w:r w:rsidR="00C870DB">
        <w:rPr>
          <w:rFonts w:ascii="Tahoma" w:hAnsi="Tahoma" w:cs="Tahoma"/>
        </w:rPr>
        <w:t xml:space="preserve">les intervenants ne sont pas fondamentalement haussiers et que certains acheteurs ont </w:t>
      </w:r>
      <w:r w:rsidR="0077741E">
        <w:rPr>
          <w:rFonts w:ascii="Tahoma" w:hAnsi="Tahoma" w:cs="Tahoma"/>
        </w:rPr>
        <w:t>préféré</w:t>
      </w:r>
      <w:r w:rsidR="00C870DB">
        <w:rPr>
          <w:rFonts w:ascii="Tahoma" w:hAnsi="Tahoma" w:cs="Tahoma"/>
        </w:rPr>
        <w:t xml:space="preserve"> ne pas tenir leurs positions.</w:t>
      </w:r>
    </w:p>
    <w:p w14:paraId="53343DFE" w14:textId="6898D9E0" w:rsidR="00AB60B0" w:rsidRDefault="00AB60B0" w:rsidP="00041E45">
      <w:pPr>
        <w:jc w:val="both"/>
        <w:rPr>
          <w:rFonts w:ascii="Tahoma" w:hAnsi="Tahoma" w:cs="Tahoma"/>
        </w:rPr>
      </w:pPr>
      <w:r>
        <w:rPr>
          <w:rFonts w:ascii="Tahoma" w:hAnsi="Tahoma" w:cs="Tahoma"/>
        </w:rPr>
        <w:t>Plus globalement, les prix évoluent au sein d’un triangle ascendant qui par définition devrait amener les cours à en sortir par le haut (cette vue ne reste que théorique). Cela signifie qu’en dépassement de la ligne de cou de 131.00, le contrat devrait corriger la baisse de ces derniers jours.</w:t>
      </w:r>
    </w:p>
    <w:p w14:paraId="3F364234" w14:textId="24790CB9" w:rsidR="00AB60B0" w:rsidRDefault="00AB60B0" w:rsidP="00041E45">
      <w:pPr>
        <w:jc w:val="both"/>
        <w:rPr>
          <w:rFonts w:ascii="Tahoma" w:hAnsi="Tahoma" w:cs="Tahoma"/>
        </w:rPr>
      </w:pPr>
      <w:r>
        <w:rPr>
          <w:rFonts w:ascii="Tahoma" w:hAnsi="Tahoma" w:cs="Tahoma"/>
        </w:rPr>
        <w:t>Le dépassement du plat de KS de 131.51 sera la seconde résistance à dépasser pour envisager le retour d’acheteurs moins hésitants.</w:t>
      </w:r>
    </w:p>
    <w:p w14:paraId="71960746" w14:textId="77777777" w:rsidR="00AB60B0" w:rsidRDefault="00AB60B0" w:rsidP="00041E45">
      <w:pPr>
        <w:jc w:val="both"/>
        <w:rPr>
          <w:rFonts w:ascii="Tahoma" w:hAnsi="Tahoma" w:cs="Tahoma"/>
        </w:rPr>
      </w:pPr>
    </w:p>
    <w:p w14:paraId="258EB8FF" w14:textId="4D6D8B31"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AB60B0">
        <w:rPr>
          <w:rFonts w:ascii="Tahoma" w:hAnsi="Tahoma" w:cs="Tahoma"/>
        </w:rPr>
        <w:t xml:space="preserve"> En cassure de 130.09, retour sur 129.53 avec risque de prolongement sur 126.71.</w:t>
      </w:r>
    </w:p>
    <w:p w14:paraId="5125CC75" w14:textId="6B970BCC" w:rsidR="00AB60B0" w:rsidRDefault="00AB60B0" w:rsidP="00B94D71">
      <w:pPr>
        <w:jc w:val="both"/>
        <w:rPr>
          <w:rFonts w:ascii="Tahoma" w:hAnsi="Tahoma" w:cs="Tahoma"/>
        </w:rPr>
      </w:pPr>
      <w:r>
        <w:rPr>
          <w:rFonts w:ascii="Tahoma" w:hAnsi="Tahoma" w:cs="Tahoma"/>
        </w:rPr>
        <w:t xml:space="preserve">En dépassement et tenue des prix </w:t>
      </w:r>
      <w:r w:rsidR="003B7346">
        <w:rPr>
          <w:rFonts w:ascii="Tahoma" w:hAnsi="Tahoma" w:cs="Tahoma"/>
        </w:rPr>
        <w:t>au-dessus</w:t>
      </w:r>
      <w:r>
        <w:rPr>
          <w:rFonts w:ascii="Tahoma" w:hAnsi="Tahoma" w:cs="Tahoma"/>
        </w:rPr>
        <w:t xml:space="preserve"> de 131.00 </w:t>
      </w:r>
      <w:r w:rsidR="001F5CF5">
        <w:rPr>
          <w:rFonts w:ascii="Tahoma" w:hAnsi="Tahoma" w:cs="Tahoma"/>
        </w:rPr>
        <w:t>puis</w:t>
      </w:r>
      <w:r>
        <w:rPr>
          <w:rFonts w:ascii="Tahoma" w:hAnsi="Tahoma" w:cs="Tahoma"/>
        </w:rPr>
        <w:t xml:space="preserve"> 131.50, mise en place d’une correction des prix à la hausse.</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0EE2"/>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5CF5"/>
    <w:rsid w:val="001F650A"/>
    <w:rsid w:val="002003AD"/>
    <w:rsid w:val="002073C1"/>
    <w:rsid w:val="002421FE"/>
    <w:rsid w:val="00262E25"/>
    <w:rsid w:val="00263ED0"/>
    <w:rsid w:val="002A1F8E"/>
    <w:rsid w:val="002B5CB1"/>
    <w:rsid w:val="002C0A31"/>
    <w:rsid w:val="002F54B0"/>
    <w:rsid w:val="00303214"/>
    <w:rsid w:val="0030643B"/>
    <w:rsid w:val="00337611"/>
    <w:rsid w:val="00340FD9"/>
    <w:rsid w:val="00352DD9"/>
    <w:rsid w:val="003767E0"/>
    <w:rsid w:val="00397D3D"/>
    <w:rsid w:val="003B7346"/>
    <w:rsid w:val="0040171B"/>
    <w:rsid w:val="00467005"/>
    <w:rsid w:val="004A2D2D"/>
    <w:rsid w:val="004A5154"/>
    <w:rsid w:val="004F48EE"/>
    <w:rsid w:val="00531928"/>
    <w:rsid w:val="005440A4"/>
    <w:rsid w:val="00546A5A"/>
    <w:rsid w:val="00554047"/>
    <w:rsid w:val="00566580"/>
    <w:rsid w:val="00567AF3"/>
    <w:rsid w:val="00583BC8"/>
    <w:rsid w:val="00654380"/>
    <w:rsid w:val="00664BE1"/>
    <w:rsid w:val="006B055C"/>
    <w:rsid w:val="006E32BB"/>
    <w:rsid w:val="006E38E0"/>
    <w:rsid w:val="00710599"/>
    <w:rsid w:val="00723F77"/>
    <w:rsid w:val="00744696"/>
    <w:rsid w:val="00772067"/>
    <w:rsid w:val="0077545D"/>
    <w:rsid w:val="0077741E"/>
    <w:rsid w:val="007A0A4B"/>
    <w:rsid w:val="007A0E6C"/>
    <w:rsid w:val="007B1237"/>
    <w:rsid w:val="007B661D"/>
    <w:rsid w:val="007D19FF"/>
    <w:rsid w:val="007D2085"/>
    <w:rsid w:val="007D4181"/>
    <w:rsid w:val="0083454A"/>
    <w:rsid w:val="00837B38"/>
    <w:rsid w:val="00896554"/>
    <w:rsid w:val="008A02CC"/>
    <w:rsid w:val="008A7407"/>
    <w:rsid w:val="008F10C2"/>
    <w:rsid w:val="00902D2F"/>
    <w:rsid w:val="00961FDF"/>
    <w:rsid w:val="00983B7D"/>
    <w:rsid w:val="009A37C2"/>
    <w:rsid w:val="009F3AB8"/>
    <w:rsid w:val="00A11606"/>
    <w:rsid w:val="00A6401C"/>
    <w:rsid w:val="00A700C6"/>
    <w:rsid w:val="00A81AB7"/>
    <w:rsid w:val="00AA37C3"/>
    <w:rsid w:val="00AA522C"/>
    <w:rsid w:val="00AB60B0"/>
    <w:rsid w:val="00AE7F3B"/>
    <w:rsid w:val="00B34260"/>
    <w:rsid w:val="00B41C02"/>
    <w:rsid w:val="00B4335A"/>
    <w:rsid w:val="00B50E38"/>
    <w:rsid w:val="00B554B8"/>
    <w:rsid w:val="00B64EE0"/>
    <w:rsid w:val="00B94D71"/>
    <w:rsid w:val="00BB0E32"/>
    <w:rsid w:val="00BB6D9D"/>
    <w:rsid w:val="00BC1E32"/>
    <w:rsid w:val="00BC77A5"/>
    <w:rsid w:val="00BD3FC1"/>
    <w:rsid w:val="00C17ED7"/>
    <w:rsid w:val="00C41F15"/>
    <w:rsid w:val="00C70171"/>
    <w:rsid w:val="00C70A68"/>
    <w:rsid w:val="00C82E98"/>
    <w:rsid w:val="00C870DB"/>
    <w:rsid w:val="00CB17C9"/>
    <w:rsid w:val="00CC72FF"/>
    <w:rsid w:val="00CC7C21"/>
    <w:rsid w:val="00CE0886"/>
    <w:rsid w:val="00CE2ECC"/>
    <w:rsid w:val="00CF2516"/>
    <w:rsid w:val="00CF6D63"/>
    <w:rsid w:val="00D23B28"/>
    <w:rsid w:val="00D46C8D"/>
    <w:rsid w:val="00DA1359"/>
    <w:rsid w:val="00DE5444"/>
    <w:rsid w:val="00DF072F"/>
    <w:rsid w:val="00E32014"/>
    <w:rsid w:val="00E3727C"/>
    <w:rsid w:val="00EB58BA"/>
    <w:rsid w:val="00EE6B93"/>
    <w:rsid w:val="00F04A6E"/>
    <w:rsid w:val="00F04DEF"/>
    <w:rsid w:val="00F31070"/>
    <w:rsid w:val="00F53F10"/>
    <w:rsid w:val="00F636F8"/>
    <w:rsid w:val="00FA2C8E"/>
    <w:rsid w:val="00FB1B6C"/>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TotalTime>
  <Pages>3</Pages>
  <Words>426</Words>
  <Characters>2347</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109</cp:revision>
  <dcterms:created xsi:type="dcterms:W3CDTF">2021-11-25T09:44:00Z</dcterms:created>
  <dcterms:modified xsi:type="dcterms:W3CDTF">2024-05-04T14:13:00Z</dcterms:modified>
</cp:coreProperties>
</file>