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90EB03C" w:rsidR="00902D2F" w:rsidRDefault="00E90179" w:rsidP="00B41C02">
      <w:pPr>
        <w:jc w:val="both"/>
        <w:rPr>
          <w:rFonts w:ascii="Tahoma" w:hAnsi="Tahoma" w:cs="Tahoma"/>
        </w:rPr>
      </w:pPr>
      <w:r>
        <w:rPr>
          <w:noProof/>
        </w:rPr>
        <w:drawing>
          <wp:inline distT="0" distB="0" distL="0" distR="0" wp14:anchorId="7CC04712" wp14:editId="5349DAAC">
            <wp:extent cx="5760720" cy="4320540"/>
            <wp:effectExtent l="0" t="0" r="0" b="3810"/>
            <wp:docPr id="16387180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508FD061"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E90179">
        <w:rPr>
          <w:rFonts w:ascii="Tahoma" w:hAnsi="Tahoma" w:cs="Tahoma"/>
        </w:rPr>
        <w:t>a dernière chandelle blanche laisse peu de place aux baissiers.</w:t>
      </w:r>
      <w:r w:rsidR="00957526">
        <w:rPr>
          <w:rFonts w:ascii="Tahoma" w:hAnsi="Tahoma" w:cs="Tahoma"/>
        </w:rPr>
        <w:t xml:space="preserve"> Mais comme je le cite souvent une longue bougie blanche doit apparaitre dans un creux de marché et non sur un sommet</w:t>
      </w:r>
      <w:r w:rsidR="00795B5A">
        <w:rPr>
          <w:rFonts w:ascii="Tahoma" w:hAnsi="Tahoma" w:cs="Tahoma"/>
        </w:rPr>
        <w:t xml:space="preserve"> pour </w:t>
      </w:r>
      <w:r w:rsidR="00CA1D0E">
        <w:rPr>
          <w:rFonts w:ascii="Tahoma" w:hAnsi="Tahoma" w:cs="Tahoma"/>
        </w:rPr>
        <w:t xml:space="preserve">ne pas </w:t>
      </w:r>
      <w:r w:rsidR="00795B5A">
        <w:rPr>
          <w:rFonts w:ascii="Tahoma" w:hAnsi="Tahoma" w:cs="Tahoma"/>
        </w:rPr>
        <w:t>assécher le courant acheteur.</w:t>
      </w:r>
    </w:p>
    <w:p w14:paraId="65B16AE1" w14:textId="7C0B6167" w:rsidR="00583BC8" w:rsidRDefault="00CF4DAE" w:rsidP="00B41C02">
      <w:pPr>
        <w:jc w:val="both"/>
        <w:rPr>
          <w:rFonts w:ascii="Tahoma" w:hAnsi="Tahoma" w:cs="Tahoma"/>
        </w:rPr>
      </w:pPr>
      <w:r>
        <w:rPr>
          <w:rFonts w:ascii="Tahoma" w:hAnsi="Tahoma" w:cs="Tahoma"/>
        </w:rPr>
        <w:t xml:space="preserve">Pour le moment, tant que cette longue bougie blanche ne sera pas remise en question, le biais donnera l’avantage aux acheteurs. </w:t>
      </w:r>
      <w:r w:rsidR="00B738C6">
        <w:rPr>
          <w:rFonts w:ascii="Tahoma" w:hAnsi="Tahoma" w:cs="Tahoma"/>
        </w:rPr>
        <w:t xml:space="preserve">Dans un premier temps cela passera par un maintien du marché </w:t>
      </w:r>
      <w:r w:rsidR="00E649CA">
        <w:rPr>
          <w:rFonts w:ascii="Tahoma" w:hAnsi="Tahoma" w:cs="Tahoma"/>
        </w:rPr>
        <w:t>au-dessus</w:t>
      </w:r>
      <w:r w:rsidR="00B738C6">
        <w:rPr>
          <w:rFonts w:ascii="Tahoma" w:hAnsi="Tahoma" w:cs="Tahoma"/>
        </w:rPr>
        <w:t xml:space="preserve"> des 5003 points. Dans un second temps le</w:t>
      </w:r>
      <w:r w:rsidR="00E649CA">
        <w:rPr>
          <w:rFonts w:ascii="Tahoma" w:hAnsi="Tahoma" w:cs="Tahoma"/>
        </w:rPr>
        <w:t>s</w:t>
      </w:r>
      <w:r w:rsidR="00B738C6">
        <w:rPr>
          <w:rFonts w:ascii="Tahoma" w:hAnsi="Tahoma" w:cs="Tahoma"/>
        </w:rPr>
        <w:t xml:space="preserve"> prix devront rebondir en retour sur 4920. En effet, tant </w:t>
      </w:r>
      <w:r w:rsidR="00E649CA">
        <w:rPr>
          <w:rFonts w:ascii="Tahoma" w:hAnsi="Tahoma" w:cs="Tahoma"/>
        </w:rPr>
        <w:t xml:space="preserve">que </w:t>
      </w:r>
      <w:r w:rsidR="00B738C6">
        <w:rPr>
          <w:rFonts w:ascii="Tahoma" w:hAnsi="Tahoma" w:cs="Tahoma"/>
        </w:rPr>
        <w:t xml:space="preserve">les investisseurs penseront que le biais est haussier, </w:t>
      </w:r>
      <w:r w:rsidR="00050CA1">
        <w:rPr>
          <w:rFonts w:ascii="Tahoma" w:hAnsi="Tahoma" w:cs="Tahoma"/>
        </w:rPr>
        <w:t xml:space="preserve">les </w:t>
      </w:r>
      <w:r w:rsidR="00256421">
        <w:rPr>
          <w:rFonts w:ascii="Tahoma" w:hAnsi="Tahoma" w:cs="Tahoma"/>
        </w:rPr>
        <w:t>baisses</w:t>
      </w:r>
      <w:r w:rsidR="00050CA1">
        <w:rPr>
          <w:rFonts w:ascii="Tahoma" w:hAnsi="Tahoma" w:cs="Tahoma"/>
        </w:rPr>
        <w:t xml:space="preserve"> seront mis à profit pour ouvrir des positions longues, soit par ceux qui ont raté la hausse, soit par d’autres qui chercheront à augmenter leurs positions longues.</w:t>
      </w:r>
    </w:p>
    <w:p w14:paraId="01B66D0C" w14:textId="5F4A0803" w:rsidR="009110E5" w:rsidRDefault="009110E5" w:rsidP="00B41C02">
      <w:pPr>
        <w:jc w:val="both"/>
        <w:rPr>
          <w:rFonts w:ascii="Tahoma" w:hAnsi="Tahoma" w:cs="Tahoma"/>
        </w:rPr>
      </w:pPr>
      <w:r>
        <w:rPr>
          <w:rFonts w:ascii="Tahoma" w:hAnsi="Tahoma" w:cs="Tahoma"/>
        </w:rPr>
        <w:t xml:space="preserve">L’indice doit maintenant dépasser le précédent haut de 5121 et venir chercher le haut historique de </w:t>
      </w:r>
      <w:r w:rsidR="005D4C98">
        <w:rPr>
          <w:rFonts w:ascii="Tahoma" w:hAnsi="Tahoma" w:cs="Tahoma"/>
        </w:rPr>
        <w:t>5522 de l’année 2000. Sans dépassement de 5121, la dynamique des prix autour des points de 5003 ou 4920 permettront de nous faire une idée sur la solidité des convictions haussières.</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28999410" w14:textId="42F9DC6C" w:rsidR="00583BC8" w:rsidRDefault="00E90179" w:rsidP="00B41C02">
      <w:pPr>
        <w:jc w:val="both"/>
        <w:rPr>
          <w:rFonts w:ascii="Tahoma" w:hAnsi="Tahoma" w:cs="Tahoma"/>
        </w:rPr>
      </w:pPr>
      <w:r>
        <w:rPr>
          <w:noProof/>
        </w:rPr>
        <w:drawing>
          <wp:inline distT="0" distB="0" distL="0" distR="0" wp14:anchorId="7A5C0E05" wp14:editId="25CDB076">
            <wp:extent cx="5760720" cy="4320540"/>
            <wp:effectExtent l="0" t="0" r="0" b="3810"/>
            <wp:docPr id="28611485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2E97E6F2" w:rsidR="00163C46" w:rsidRDefault="00352DD9" w:rsidP="00263ED0">
      <w:pPr>
        <w:jc w:val="both"/>
        <w:rPr>
          <w:rFonts w:ascii="Tahoma" w:hAnsi="Tahoma" w:cs="Tahoma"/>
        </w:rPr>
      </w:pPr>
      <w:r>
        <w:rPr>
          <w:rFonts w:ascii="Tahoma" w:hAnsi="Tahoma" w:cs="Tahoma"/>
        </w:rPr>
        <w:t>L</w:t>
      </w:r>
      <w:r w:rsidR="00252212">
        <w:rPr>
          <w:rFonts w:ascii="Tahoma" w:hAnsi="Tahoma" w:cs="Tahoma"/>
        </w:rPr>
        <w:t xml:space="preserve">e rebond des prix sur le point bas du 19 avril </w:t>
      </w:r>
      <w:r w:rsidR="00E85CB3">
        <w:rPr>
          <w:rFonts w:ascii="Tahoma" w:hAnsi="Tahoma" w:cs="Tahoma"/>
        </w:rPr>
        <w:t xml:space="preserve">de 4884 n’était pas mon scénario favori contrairement à un participant du forum Ichimoku avec qui j’ai eu l’occasion d’échanger et qui ne voyait pas de baisse tant que </w:t>
      </w:r>
      <w:r w:rsidR="00E649CA">
        <w:rPr>
          <w:rFonts w:ascii="Tahoma" w:hAnsi="Tahoma" w:cs="Tahoma"/>
        </w:rPr>
        <w:t xml:space="preserve">le </w:t>
      </w:r>
      <w:r w:rsidR="00E85CB3">
        <w:rPr>
          <w:rFonts w:ascii="Tahoma" w:hAnsi="Tahoma" w:cs="Tahoma"/>
        </w:rPr>
        <w:t>support de 4884 n’était pas invalidé</w:t>
      </w:r>
      <w:r w:rsidR="00A61614">
        <w:rPr>
          <w:rFonts w:ascii="Tahoma" w:hAnsi="Tahoma" w:cs="Tahoma"/>
        </w:rPr>
        <w:t xml:space="preserve"> (voir échanges sur forum Ichimoku-kinko-hyo).</w:t>
      </w:r>
    </w:p>
    <w:p w14:paraId="0337FA0D" w14:textId="39E3271E" w:rsidR="00E62C36" w:rsidRDefault="00E62C36" w:rsidP="00263ED0">
      <w:pPr>
        <w:jc w:val="both"/>
        <w:rPr>
          <w:rFonts w:ascii="Tahoma" w:hAnsi="Tahoma" w:cs="Tahoma"/>
        </w:rPr>
      </w:pPr>
      <w:r>
        <w:rPr>
          <w:rFonts w:ascii="Tahoma" w:hAnsi="Tahoma" w:cs="Tahoma"/>
        </w:rPr>
        <w:t>Le rebond s’est fait sans hésitation et le marché est revenu non loin de son précédent sommet.</w:t>
      </w:r>
    </w:p>
    <w:p w14:paraId="0A5B894F" w14:textId="2A8B1766" w:rsidR="00E62C36" w:rsidRDefault="00E62C36" w:rsidP="00263ED0">
      <w:pPr>
        <w:jc w:val="both"/>
        <w:rPr>
          <w:rFonts w:ascii="Tahoma" w:hAnsi="Tahoma" w:cs="Tahoma"/>
        </w:rPr>
      </w:pPr>
      <w:r>
        <w:rPr>
          <w:rFonts w:ascii="Tahoma" w:hAnsi="Tahoma" w:cs="Tahoma"/>
        </w:rPr>
        <w:t xml:space="preserve">La </w:t>
      </w:r>
      <w:r w:rsidR="00E649CA">
        <w:rPr>
          <w:rFonts w:ascii="Tahoma" w:hAnsi="Tahoma" w:cs="Tahoma"/>
        </w:rPr>
        <w:t>fenêtre</w:t>
      </w:r>
      <w:r>
        <w:rPr>
          <w:rFonts w:ascii="Tahoma" w:hAnsi="Tahoma" w:cs="Tahoma"/>
        </w:rPr>
        <w:t xml:space="preserve"> du 22 </w:t>
      </w:r>
      <w:r w:rsidR="00E649CA">
        <w:rPr>
          <w:rFonts w:ascii="Tahoma" w:hAnsi="Tahoma" w:cs="Tahoma"/>
        </w:rPr>
        <w:t>février</w:t>
      </w:r>
      <w:r>
        <w:rPr>
          <w:rFonts w:ascii="Tahoma" w:hAnsi="Tahoma" w:cs="Tahoma"/>
        </w:rPr>
        <w:t xml:space="preserve"> (4782-4812) est toujours présente et offrira à l’indice une occasion de rebond si le sommet de 5121 n’est pas dépassé et que les prix corrigent à nouveau.</w:t>
      </w:r>
    </w:p>
    <w:p w14:paraId="0FF45D53" w14:textId="601C9D73" w:rsidR="00E62C36" w:rsidRDefault="00B97EBE" w:rsidP="00263ED0">
      <w:pPr>
        <w:jc w:val="both"/>
        <w:rPr>
          <w:rFonts w:ascii="Tahoma" w:hAnsi="Tahoma" w:cs="Tahoma"/>
        </w:rPr>
      </w:pPr>
      <w:r>
        <w:rPr>
          <w:rFonts w:ascii="Tahoma" w:hAnsi="Tahoma" w:cs="Tahoma"/>
        </w:rPr>
        <w:t>Attention à la hausse de la semaine. A mon sens elle manque de solidité.</w:t>
      </w:r>
      <w:r w:rsidR="00E62C36">
        <w:rPr>
          <w:rFonts w:ascii="Tahoma" w:hAnsi="Tahoma" w:cs="Tahoma"/>
        </w:rPr>
        <w:t xml:space="preserve"> </w:t>
      </w:r>
      <w:r w:rsidR="008407F2">
        <w:rPr>
          <w:rFonts w:ascii="Tahoma" w:hAnsi="Tahoma" w:cs="Tahoma"/>
        </w:rPr>
        <w:t xml:space="preserve">Cette hausse ressemble plus à une « fuite en avant » qu’à un mouvement construit et solide. Cela </w:t>
      </w:r>
      <w:r w:rsidR="00077038">
        <w:rPr>
          <w:rFonts w:ascii="Tahoma" w:hAnsi="Tahoma" w:cs="Tahoma"/>
        </w:rPr>
        <w:t>pourrait inciter les acheteurs à protéger rapidement leurs positions si la poursuite de la hausse était remise en cause.</w:t>
      </w:r>
      <w:r w:rsidR="0097259D">
        <w:rPr>
          <w:rFonts w:ascii="Tahoma" w:hAnsi="Tahoma" w:cs="Tahoma"/>
        </w:rPr>
        <w:t xml:space="preserve"> J’ai cité sur le moyen terme les points essentiels de 5003 et 4921 </w:t>
      </w:r>
      <w:r w:rsidR="00E649CA">
        <w:rPr>
          <w:rFonts w:ascii="Tahoma" w:hAnsi="Tahoma" w:cs="Tahoma"/>
        </w:rPr>
        <w:t>au-dessus</w:t>
      </w:r>
      <w:r w:rsidR="00816886">
        <w:rPr>
          <w:rFonts w:ascii="Tahoma" w:hAnsi="Tahoma" w:cs="Tahoma"/>
        </w:rPr>
        <w:t xml:space="preserve"> desquels les acheteurs pourraient rester confiants.</w:t>
      </w:r>
    </w:p>
    <w:p w14:paraId="10BB9766" w14:textId="77777777" w:rsidR="00723F77" w:rsidRDefault="00723F77" w:rsidP="00041E45">
      <w:pPr>
        <w:jc w:val="both"/>
        <w:rPr>
          <w:rFonts w:ascii="Tahoma" w:hAnsi="Tahoma" w:cs="Tahoma"/>
        </w:rPr>
      </w:pPr>
    </w:p>
    <w:p w14:paraId="655E9AC0" w14:textId="5A608157"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DE5DDE">
        <w:rPr>
          <w:rFonts w:ascii="Tahoma" w:hAnsi="Tahoma" w:cs="Tahoma"/>
        </w:rPr>
        <w:t xml:space="preserve"> </w:t>
      </w:r>
      <w:r w:rsidR="00E649CA">
        <w:rPr>
          <w:rFonts w:ascii="Tahoma" w:hAnsi="Tahoma" w:cs="Tahoma"/>
        </w:rPr>
        <w:t>Dépassement</w:t>
      </w:r>
      <w:r w:rsidR="00DE5DDE">
        <w:rPr>
          <w:rFonts w:ascii="Tahoma" w:hAnsi="Tahoma" w:cs="Tahoma"/>
        </w:rPr>
        <w:t xml:space="preserve"> de 5121 pour envisager une poursuite de la hausse. </w:t>
      </w:r>
      <w:r w:rsidR="00B16BE2">
        <w:rPr>
          <w:rFonts w:ascii="Tahoma" w:hAnsi="Tahoma" w:cs="Tahoma"/>
        </w:rPr>
        <w:t>P</w:t>
      </w:r>
      <w:r w:rsidR="00DE5DDE">
        <w:rPr>
          <w:rFonts w:ascii="Tahoma" w:hAnsi="Tahoma" w:cs="Tahoma"/>
        </w:rPr>
        <w:t xml:space="preserve">ositif sous l’influence de la dernière longue chandelle blanche hebdomadaire </w:t>
      </w:r>
      <w:r w:rsidR="00E649CA">
        <w:rPr>
          <w:rFonts w:ascii="Tahoma" w:hAnsi="Tahoma" w:cs="Tahoma"/>
        </w:rPr>
        <w:t>au-dessus</w:t>
      </w:r>
      <w:r w:rsidR="00B16BE2">
        <w:rPr>
          <w:rFonts w:ascii="Tahoma" w:hAnsi="Tahoma" w:cs="Tahoma"/>
        </w:rPr>
        <w:t xml:space="preserve"> de 5003 ou de 4921.</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0CA1"/>
    <w:rsid w:val="000524C5"/>
    <w:rsid w:val="000556C3"/>
    <w:rsid w:val="00077038"/>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1668C"/>
    <w:rsid w:val="002421FE"/>
    <w:rsid w:val="00252212"/>
    <w:rsid w:val="00256421"/>
    <w:rsid w:val="00262E25"/>
    <w:rsid w:val="00263ED0"/>
    <w:rsid w:val="002A1F8E"/>
    <w:rsid w:val="002B5CB1"/>
    <w:rsid w:val="002C0A31"/>
    <w:rsid w:val="002F54B0"/>
    <w:rsid w:val="0030643B"/>
    <w:rsid w:val="00337611"/>
    <w:rsid w:val="00340FD9"/>
    <w:rsid w:val="00352DD9"/>
    <w:rsid w:val="003C2E49"/>
    <w:rsid w:val="0040171B"/>
    <w:rsid w:val="00467005"/>
    <w:rsid w:val="004A5154"/>
    <w:rsid w:val="00531928"/>
    <w:rsid w:val="005440A4"/>
    <w:rsid w:val="00546A5A"/>
    <w:rsid w:val="00566580"/>
    <w:rsid w:val="00567AF3"/>
    <w:rsid w:val="00583BC8"/>
    <w:rsid w:val="005D4C98"/>
    <w:rsid w:val="00654380"/>
    <w:rsid w:val="006E32BB"/>
    <w:rsid w:val="00723F77"/>
    <w:rsid w:val="00744696"/>
    <w:rsid w:val="00772067"/>
    <w:rsid w:val="0077545D"/>
    <w:rsid w:val="00795B5A"/>
    <w:rsid w:val="007A0E6C"/>
    <w:rsid w:val="007B661D"/>
    <w:rsid w:val="007D19FF"/>
    <w:rsid w:val="007D2085"/>
    <w:rsid w:val="00816886"/>
    <w:rsid w:val="0083454A"/>
    <w:rsid w:val="00835AC6"/>
    <w:rsid w:val="00837B38"/>
    <w:rsid w:val="008407F2"/>
    <w:rsid w:val="00896554"/>
    <w:rsid w:val="008A7407"/>
    <w:rsid w:val="008F10C2"/>
    <w:rsid w:val="00902D2F"/>
    <w:rsid w:val="009110E5"/>
    <w:rsid w:val="00957526"/>
    <w:rsid w:val="00961FDF"/>
    <w:rsid w:val="0097259D"/>
    <w:rsid w:val="00983B7D"/>
    <w:rsid w:val="009A37C2"/>
    <w:rsid w:val="009F3AB8"/>
    <w:rsid w:val="00A11606"/>
    <w:rsid w:val="00A61614"/>
    <w:rsid w:val="00A6383E"/>
    <w:rsid w:val="00A6401C"/>
    <w:rsid w:val="00A81AB7"/>
    <w:rsid w:val="00AE7F3B"/>
    <w:rsid w:val="00B16BE2"/>
    <w:rsid w:val="00B34260"/>
    <w:rsid w:val="00B41C02"/>
    <w:rsid w:val="00B50E38"/>
    <w:rsid w:val="00B554B8"/>
    <w:rsid w:val="00B64EE0"/>
    <w:rsid w:val="00B738C6"/>
    <w:rsid w:val="00B81323"/>
    <w:rsid w:val="00B97EBE"/>
    <w:rsid w:val="00BB0E32"/>
    <w:rsid w:val="00BB6D9D"/>
    <w:rsid w:val="00BC77A5"/>
    <w:rsid w:val="00BD3FC1"/>
    <w:rsid w:val="00C17ED7"/>
    <w:rsid w:val="00C41F15"/>
    <w:rsid w:val="00C70171"/>
    <w:rsid w:val="00C70A68"/>
    <w:rsid w:val="00C82E98"/>
    <w:rsid w:val="00CA1D0E"/>
    <w:rsid w:val="00CC7C21"/>
    <w:rsid w:val="00CE0886"/>
    <w:rsid w:val="00CF2516"/>
    <w:rsid w:val="00CF4DAE"/>
    <w:rsid w:val="00CF6D63"/>
    <w:rsid w:val="00D23B28"/>
    <w:rsid w:val="00D46C8D"/>
    <w:rsid w:val="00DE5444"/>
    <w:rsid w:val="00DE5DDE"/>
    <w:rsid w:val="00DF072F"/>
    <w:rsid w:val="00E32014"/>
    <w:rsid w:val="00E62C36"/>
    <w:rsid w:val="00E649CA"/>
    <w:rsid w:val="00E85CB3"/>
    <w:rsid w:val="00E90179"/>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3</Pages>
  <Words>488</Words>
  <Characters>2687</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98</cp:revision>
  <dcterms:created xsi:type="dcterms:W3CDTF">2021-11-25T09:44:00Z</dcterms:created>
  <dcterms:modified xsi:type="dcterms:W3CDTF">2024-05-11T14:33:00Z</dcterms:modified>
</cp:coreProperties>
</file>