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3CF308A6" w14:textId="12DA3A14" w:rsidR="002A55E1" w:rsidRPr="002A55E1" w:rsidRDefault="002A55E1" w:rsidP="00B41C02">
      <w:pPr>
        <w:jc w:val="both"/>
        <w:rPr>
          <w:rFonts w:ascii="Tahoma" w:hAnsi="Tahoma" w:cs="Tahoma"/>
          <w:sz w:val="32"/>
          <w:szCs w:val="32"/>
          <w:u w:val="single"/>
        </w:rPr>
      </w:pPr>
      <w:r w:rsidRPr="002A55E1">
        <w:rPr>
          <w:rFonts w:ascii="Tahoma" w:hAnsi="Tahoma" w:cs="Tahoma"/>
          <w:sz w:val="32"/>
          <w:szCs w:val="32"/>
          <w:u w:val="single"/>
        </w:rPr>
        <w:t>MONTH</w:t>
      </w:r>
    </w:p>
    <w:p w14:paraId="75B19056" w14:textId="4817EAF3" w:rsidR="002A55E1" w:rsidRDefault="00706B09" w:rsidP="00B41C02">
      <w:pPr>
        <w:jc w:val="both"/>
        <w:rPr>
          <w:rFonts w:ascii="Tahoma" w:hAnsi="Tahoma" w:cs="Tahoma"/>
          <w:sz w:val="32"/>
          <w:szCs w:val="32"/>
          <w:u w:val="single"/>
        </w:rPr>
      </w:pPr>
      <w:r>
        <w:rPr>
          <w:noProof/>
        </w:rPr>
        <w:drawing>
          <wp:inline distT="0" distB="0" distL="0" distR="0" wp14:anchorId="770D7F06" wp14:editId="2406DB40">
            <wp:extent cx="5760720" cy="4320540"/>
            <wp:effectExtent l="0" t="0" r="0" b="3810"/>
            <wp:docPr id="14664803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FB6B159" w14:textId="77777777" w:rsidR="00FF36DD" w:rsidRDefault="00FF36DD" w:rsidP="00B41C02">
      <w:pPr>
        <w:jc w:val="both"/>
        <w:rPr>
          <w:rFonts w:ascii="Tahoma" w:hAnsi="Tahoma" w:cs="Tahoma"/>
          <w:sz w:val="32"/>
          <w:szCs w:val="32"/>
          <w:u w:val="single"/>
        </w:rPr>
      </w:pPr>
    </w:p>
    <w:p w14:paraId="0F9DB2A9" w14:textId="72337923" w:rsidR="00FF36DD" w:rsidRDefault="007F2BF5" w:rsidP="00B41C02">
      <w:pPr>
        <w:jc w:val="both"/>
        <w:rPr>
          <w:rFonts w:ascii="Tahoma" w:hAnsi="Tahoma" w:cs="Tahoma"/>
        </w:rPr>
      </w:pPr>
      <w:r>
        <w:rPr>
          <w:rFonts w:ascii="Tahoma" w:hAnsi="Tahoma" w:cs="Tahoma"/>
        </w:rPr>
        <w:t xml:space="preserve">Nous assistons à une remise en question de la hausse qui a pris forme en fin d’année 2023 avec la formation d’une structure </w:t>
      </w:r>
      <w:r w:rsidR="003C7838">
        <w:rPr>
          <w:rFonts w:ascii="Tahoma" w:hAnsi="Tahoma" w:cs="Tahoma"/>
        </w:rPr>
        <w:t xml:space="preserve">haussière </w:t>
      </w:r>
      <w:r>
        <w:rPr>
          <w:rFonts w:ascii="Tahoma" w:hAnsi="Tahoma" w:cs="Tahoma"/>
        </w:rPr>
        <w:t xml:space="preserve">en étoile du matin. Cette remise en cause devrait passer par un retour des prix sur le point bas </w:t>
      </w:r>
      <w:r w:rsidR="003C7838">
        <w:rPr>
          <w:rFonts w:ascii="Tahoma" w:hAnsi="Tahoma" w:cs="Tahoma"/>
        </w:rPr>
        <w:t xml:space="preserve">récent </w:t>
      </w:r>
      <w:r>
        <w:rPr>
          <w:rFonts w:ascii="Tahoma" w:hAnsi="Tahoma" w:cs="Tahoma"/>
        </w:rPr>
        <w:t>de 126.71 qui d’une part a servi de support en octobre dernier et qui d’autre part représente un plat de SSB</w:t>
      </w:r>
      <w:r w:rsidR="003C7838" w:rsidRPr="003C7838">
        <w:rPr>
          <w:rFonts w:ascii="Tahoma" w:hAnsi="Tahoma" w:cs="Tahoma"/>
        </w:rPr>
        <w:t xml:space="preserve"> </w:t>
      </w:r>
      <w:r w:rsidR="003C7838">
        <w:rPr>
          <w:rFonts w:ascii="Tahoma" w:hAnsi="Tahoma" w:cs="Tahoma"/>
        </w:rPr>
        <w:t>passé</w:t>
      </w:r>
      <w:r w:rsidR="003C7838">
        <w:rPr>
          <w:rFonts w:ascii="Tahoma" w:hAnsi="Tahoma" w:cs="Tahoma"/>
        </w:rPr>
        <w:t>e</w:t>
      </w:r>
      <w:r>
        <w:rPr>
          <w:rFonts w:ascii="Tahoma" w:hAnsi="Tahoma" w:cs="Tahoma"/>
        </w:rPr>
        <w:t>.</w:t>
      </w:r>
    </w:p>
    <w:p w14:paraId="552161C5" w14:textId="496FB6EC" w:rsidR="007F2BF5" w:rsidRDefault="00DE11BF" w:rsidP="00B41C02">
      <w:pPr>
        <w:jc w:val="both"/>
        <w:rPr>
          <w:rFonts w:ascii="Tahoma" w:hAnsi="Tahoma" w:cs="Tahoma"/>
        </w:rPr>
      </w:pPr>
      <w:r>
        <w:rPr>
          <w:rFonts w:ascii="Tahoma" w:hAnsi="Tahoma" w:cs="Tahoma"/>
        </w:rPr>
        <w:t xml:space="preserve">Ce dernier mois a dessiné une chandelle de type marteau inversé. Cette bougie montre </w:t>
      </w:r>
      <w:r w:rsidR="003C7838">
        <w:rPr>
          <w:rFonts w:ascii="Tahoma" w:hAnsi="Tahoma" w:cs="Tahoma"/>
        </w:rPr>
        <w:t xml:space="preserve">l’intervention d’acheteurs </w:t>
      </w:r>
      <w:r w:rsidR="00F11BF5">
        <w:rPr>
          <w:rFonts w:ascii="Tahoma" w:hAnsi="Tahoma" w:cs="Tahoma"/>
        </w:rPr>
        <w:t xml:space="preserve">sur les niveaux actuels </w:t>
      </w:r>
      <w:r w:rsidR="003C7838">
        <w:rPr>
          <w:rFonts w:ascii="Tahoma" w:hAnsi="Tahoma" w:cs="Tahoma"/>
        </w:rPr>
        <w:t>qui n’ont pas tenu leurs positions. Cette action</w:t>
      </w:r>
      <w:r w:rsidR="00F11BF5">
        <w:rPr>
          <w:rFonts w:ascii="Tahoma" w:hAnsi="Tahoma" w:cs="Tahoma"/>
        </w:rPr>
        <w:t xml:space="preserve"> pourra </w:t>
      </w:r>
      <w:r w:rsidR="00E3329A">
        <w:rPr>
          <w:rFonts w:ascii="Tahoma" w:hAnsi="Tahoma" w:cs="Tahoma"/>
        </w:rPr>
        <w:t xml:space="preserve">inquiéter les vendeurs si les prix progressent </w:t>
      </w:r>
      <w:r w:rsidR="003C7838">
        <w:rPr>
          <w:rFonts w:ascii="Tahoma" w:hAnsi="Tahoma" w:cs="Tahoma"/>
        </w:rPr>
        <w:t xml:space="preserve">à nouveau </w:t>
      </w:r>
      <w:r w:rsidR="00E3329A">
        <w:rPr>
          <w:rFonts w:ascii="Tahoma" w:hAnsi="Tahoma" w:cs="Tahoma"/>
        </w:rPr>
        <w:t xml:space="preserve">au cours du mois de juin. Ces derniers chercheront à </w:t>
      </w:r>
      <w:r w:rsidR="00014A64">
        <w:rPr>
          <w:rFonts w:ascii="Tahoma" w:hAnsi="Tahoma" w:cs="Tahoma"/>
        </w:rPr>
        <w:t>protéger</w:t>
      </w:r>
      <w:r w:rsidR="00E3329A">
        <w:rPr>
          <w:rFonts w:ascii="Tahoma" w:hAnsi="Tahoma" w:cs="Tahoma"/>
        </w:rPr>
        <w:t xml:space="preserve"> leurs gains par des rachats de shorts.</w:t>
      </w:r>
      <w:r w:rsidR="008D0A94">
        <w:rPr>
          <w:rFonts w:ascii="Tahoma" w:hAnsi="Tahoma" w:cs="Tahoma"/>
        </w:rPr>
        <w:t xml:space="preserve"> </w:t>
      </w:r>
      <w:r w:rsidR="003C7838">
        <w:rPr>
          <w:rFonts w:ascii="Tahoma" w:hAnsi="Tahoma" w:cs="Tahoma"/>
        </w:rPr>
        <w:t>Pour cela l</w:t>
      </w:r>
      <w:r w:rsidR="008D0A94">
        <w:rPr>
          <w:rFonts w:ascii="Tahoma" w:hAnsi="Tahoma" w:cs="Tahoma"/>
        </w:rPr>
        <w:t xml:space="preserve">e dépassement du point haut de la mèche, c’est-à-dire 132.11 sera alors </w:t>
      </w:r>
      <w:r w:rsidR="00014A64">
        <w:rPr>
          <w:rFonts w:ascii="Tahoma" w:hAnsi="Tahoma" w:cs="Tahoma"/>
        </w:rPr>
        <w:t>nécessaire</w:t>
      </w:r>
      <w:r w:rsidR="007B6FF4">
        <w:rPr>
          <w:rFonts w:ascii="Tahoma" w:hAnsi="Tahoma" w:cs="Tahoma"/>
        </w:rPr>
        <w:t xml:space="preserve">. Il indiquera </w:t>
      </w:r>
      <w:r w:rsidR="00142870">
        <w:rPr>
          <w:rFonts w:ascii="Tahoma" w:hAnsi="Tahoma" w:cs="Tahoma"/>
        </w:rPr>
        <w:t xml:space="preserve">que </w:t>
      </w:r>
      <w:r w:rsidR="003E2191">
        <w:rPr>
          <w:rFonts w:ascii="Tahoma" w:hAnsi="Tahoma" w:cs="Tahoma"/>
        </w:rPr>
        <w:t>la hausse temporaire</w:t>
      </w:r>
      <w:r w:rsidR="007B6FF4">
        <w:rPr>
          <w:rFonts w:ascii="Tahoma" w:hAnsi="Tahoma" w:cs="Tahoma"/>
        </w:rPr>
        <w:t xml:space="preserve"> du mois de mai était inscrit</w:t>
      </w:r>
      <w:r w:rsidR="003E2191">
        <w:rPr>
          <w:rFonts w:ascii="Tahoma" w:hAnsi="Tahoma" w:cs="Tahoma"/>
        </w:rPr>
        <w:t>e</w:t>
      </w:r>
      <w:r w:rsidR="007B6FF4">
        <w:rPr>
          <w:rFonts w:ascii="Tahoma" w:hAnsi="Tahoma" w:cs="Tahoma"/>
        </w:rPr>
        <w:t xml:space="preserve"> dans une logique de basculement du rapport de force à l’avantage des acheteurs.</w:t>
      </w:r>
    </w:p>
    <w:p w14:paraId="239865E5" w14:textId="6CE01B7D" w:rsidR="00BD423A" w:rsidRDefault="00BD423A" w:rsidP="00B41C02">
      <w:pPr>
        <w:jc w:val="both"/>
        <w:rPr>
          <w:rFonts w:ascii="Tahoma" w:hAnsi="Tahoma" w:cs="Tahoma"/>
        </w:rPr>
      </w:pPr>
      <w:r>
        <w:rPr>
          <w:rFonts w:ascii="Tahoma" w:hAnsi="Tahoma" w:cs="Tahoma"/>
        </w:rPr>
        <w:t xml:space="preserve">La TS s’est aplatie. Elle nous indique que le marché n’est plus en mouvement. Elle continuera d’être plate sur 132.60 au cours du mois de juin et pourra être utilisée comme pivot. </w:t>
      </w:r>
      <w:r w:rsidR="00710E1B">
        <w:rPr>
          <w:rFonts w:ascii="Tahoma" w:hAnsi="Tahoma" w:cs="Tahoma"/>
        </w:rPr>
        <w:t xml:space="preserve">Je veux dire par là que sous le plat de TS de 132.60, le biais favorisera un retour du contrat sur 126.71 alors qu’un dépassement </w:t>
      </w:r>
      <w:r w:rsidR="003E2191">
        <w:rPr>
          <w:rFonts w:ascii="Tahoma" w:hAnsi="Tahoma" w:cs="Tahoma"/>
        </w:rPr>
        <w:t>de ce</w:t>
      </w:r>
      <w:r w:rsidR="00710E1B">
        <w:rPr>
          <w:rFonts w:ascii="Tahoma" w:hAnsi="Tahoma" w:cs="Tahoma"/>
        </w:rPr>
        <w:t xml:space="preserve"> plat de TS nous </w:t>
      </w:r>
      <w:r w:rsidR="006407E8">
        <w:rPr>
          <w:rFonts w:ascii="Tahoma" w:hAnsi="Tahoma" w:cs="Tahoma"/>
        </w:rPr>
        <w:t xml:space="preserve">confirmera le retour des acheteurs et </w:t>
      </w:r>
      <w:r w:rsidR="003E2191">
        <w:rPr>
          <w:rFonts w:ascii="Tahoma" w:hAnsi="Tahoma" w:cs="Tahoma"/>
        </w:rPr>
        <w:t>d</w:t>
      </w:r>
      <w:r w:rsidR="006407E8">
        <w:rPr>
          <w:rFonts w:ascii="Tahoma" w:hAnsi="Tahoma" w:cs="Tahoma"/>
        </w:rPr>
        <w:t>es rachats de shorts de protection.</w:t>
      </w:r>
    </w:p>
    <w:p w14:paraId="58260414" w14:textId="3881039D" w:rsidR="00BD423A" w:rsidRDefault="006407E8" w:rsidP="00B41C02">
      <w:pPr>
        <w:jc w:val="both"/>
        <w:rPr>
          <w:rFonts w:ascii="Tahoma" w:hAnsi="Tahoma" w:cs="Tahoma"/>
        </w:rPr>
      </w:pPr>
      <w:r>
        <w:rPr>
          <w:rFonts w:ascii="Tahoma" w:hAnsi="Tahoma" w:cs="Tahoma"/>
        </w:rPr>
        <w:lastRenderedPageBreak/>
        <w:t>L</w:t>
      </w:r>
      <w:r w:rsidR="00BD423A">
        <w:rPr>
          <w:rFonts w:ascii="Tahoma" w:hAnsi="Tahoma" w:cs="Tahoma"/>
        </w:rPr>
        <w:t xml:space="preserve">a décomposition du chandelier du mois de mai </w:t>
      </w:r>
      <w:r>
        <w:rPr>
          <w:rFonts w:ascii="Tahoma" w:hAnsi="Tahoma" w:cs="Tahoma"/>
        </w:rPr>
        <w:t>nous en dit un peu plus sur le potentiel de rebond du marché</w:t>
      </w:r>
    </w:p>
    <w:p w14:paraId="1D2829A4" w14:textId="77777777" w:rsidR="00FF36DD" w:rsidRPr="002A55E1" w:rsidRDefault="00FF36DD" w:rsidP="00B41C02">
      <w:pPr>
        <w:jc w:val="both"/>
        <w:rPr>
          <w:rFonts w:ascii="Tahoma" w:hAnsi="Tahoma" w:cs="Tahoma"/>
          <w:sz w:val="32"/>
          <w:szCs w:val="32"/>
          <w:u w:val="single"/>
        </w:rPr>
      </w:pP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0D2D060" w:rsidR="00902D2F" w:rsidRDefault="00706B09" w:rsidP="00B41C02">
      <w:pPr>
        <w:jc w:val="both"/>
        <w:rPr>
          <w:rFonts w:ascii="Tahoma" w:hAnsi="Tahoma" w:cs="Tahoma"/>
        </w:rPr>
      </w:pPr>
      <w:r>
        <w:rPr>
          <w:noProof/>
        </w:rPr>
        <w:drawing>
          <wp:inline distT="0" distB="0" distL="0" distR="0" wp14:anchorId="4E56DE1E" wp14:editId="2AF92BCC">
            <wp:extent cx="5760720" cy="4320540"/>
            <wp:effectExtent l="0" t="0" r="0" b="3810"/>
            <wp:docPr id="154368692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1ECB8C5D" w:rsidR="00DF072F" w:rsidRDefault="006407E8" w:rsidP="00B41C02">
      <w:pPr>
        <w:jc w:val="both"/>
        <w:rPr>
          <w:rFonts w:ascii="Tahoma" w:hAnsi="Tahoma" w:cs="Tahoma"/>
        </w:rPr>
      </w:pPr>
      <w:r>
        <w:rPr>
          <w:rFonts w:ascii="Tahoma" w:hAnsi="Tahoma" w:cs="Tahoma"/>
        </w:rPr>
        <w:t xml:space="preserve">Sur le moyen terme, on constate que </w:t>
      </w:r>
      <w:r w:rsidR="00662809">
        <w:rPr>
          <w:rFonts w:ascii="Tahoma" w:hAnsi="Tahoma" w:cs="Tahoma"/>
        </w:rPr>
        <w:t>la hausse</w:t>
      </w:r>
      <w:r>
        <w:rPr>
          <w:rFonts w:ascii="Tahoma" w:hAnsi="Tahoma" w:cs="Tahoma"/>
        </w:rPr>
        <w:t xml:space="preserve"> évoqué</w:t>
      </w:r>
      <w:r w:rsidR="00662809">
        <w:rPr>
          <w:rFonts w:ascii="Tahoma" w:hAnsi="Tahoma" w:cs="Tahoma"/>
        </w:rPr>
        <w:t>e</w:t>
      </w:r>
      <w:r>
        <w:rPr>
          <w:rFonts w:ascii="Tahoma" w:hAnsi="Tahoma" w:cs="Tahoma"/>
        </w:rPr>
        <w:t xml:space="preserve"> sur le long terme </w:t>
      </w:r>
      <w:r>
        <w:rPr>
          <w:rFonts w:ascii="Tahoma" w:hAnsi="Tahoma" w:cs="Tahoma"/>
        </w:rPr>
        <w:t xml:space="preserve">(quatre derniers chandeliers) </w:t>
      </w:r>
      <w:r>
        <w:rPr>
          <w:rFonts w:ascii="Tahoma" w:hAnsi="Tahoma" w:cs="Tahoma"/>
        </w:rPr>
        <w:t>est constitué</w:t>
      </w:r>
      <w:r w:rsidR="00662809">
        <w:rPr>
          <w:rFonts w:ascii="Tahoma" w:hAnsi="Tahoma" w:cs="Tahoma"/>
        </w:rPr>
        <w:t>e ici</w:t>
      </w:r>
      <w:r>
        <w:rPr>
          <w:rFonts w:ascii="Tahoma" w:hAnsi="Tahoma" w:cs="Tahoma"/>
        </w:rPr>
        <w:t xml:space="preserve"> de mèches hautes. </w:t>
      </w:r>
      <w:r w:rsidR="00662809">
        <w:rPr>
          <w:rFonts w:ascii="Tahoma" w:hAnsi="Tahoma" w:cs="Tahoma"/>
        </w:rPr>
        <w:t>Elles</w:t>
      </w:r>
      <w:r>
        <w:rPr>
          <w:rFonts w:ascii="Tahoma" w:hAnsi="Tahoma" w:cs="Tahoma"/>
        </w:rPr>
        <w:t xml:space="preserve"> montre</w:t>
      </w:r>
      <w:r w:rsidR="00662809">
        <w:rPr>
          <w:rFonts w:ascii="Tahoma" w:hAnsi="Tahoma" w:cs="Tahoma"/>
        </w:rPr>
        <w:t>nt</w:t>
      </w:r>
      <w:r>
        <w:rPr>
          <w:rFonts w:ascii="Tahoma" w:hAnsi="Tahoma" w:cs="Tahoma"/>
        </w:rPr>
        <w:t xml:space="preserve"> l’absence de conviction des acheteurs qui à plusieurs reprises ont tenté de reprendre le dessus sans y parvenir.</w:t>
      </w:r>
    </w:p>
    <w:p w14:paraId="227284AB" w14:textId="5DC9575F" w:rsidR="006407E8" w:rsidRDefault="006407E8" w:rsidP="00B41C02">
      <w:pPr>
        <w:jc w:val="both"/>
        <w:rPr>
          <w:rFonts w:ascii="Tahoma" w:hAnsi="Tahoma" w:cs="Tahoma"/>
        </w:rPr>
      </w:pPr>
      <w:r>
        <w:rPr>
          <w:rFonts w:ascii="Tahoma" w:hAnsi="Tahoma" w:cs="Tahoma"/>
        </w:rPr>
        <w:t>Cette consta</w:t>
      </w:r>
      <w:r w:rsidR="003349C5">
        <w:rPr>
          <w:rFonts w:ascii="Tahoma" w:hAnsi="Tahoma" w:cs="Tahoma"/>
        </w:rPr>
        <w:t>ta</w:t>
      </w:r>
      <w:r>
        <w:rPr>
          <w:rFonts w:ascii="Tahoma" w:hAnsi="Tahoma" w:cs="Tahoma"/>
        </w:rPr>
        <w:t>tion m’</w:t>
      </w:r>
      <w:r w:rsidR="003349C5">
        <w:rPr>
          <w:rFonts w:ascii="Tahoma" w:hAnsi="Tahoma" w:cs="Tahoma"/>
        </w:rPr>
        <w:t>amène</w:t>
      </w:r>
      <w:r>
        <w:rPr>
          <w:rFonts w:ascii="Tahoma" w:hAnsi="Tahoma" w:cs="Tahoma"/>
        </w:rPr>
        <w:t xml:space="preserve"> à penser que les hausses temporaires, observées au cours du mois de mai ont eu un impact limité sur la conviction des baissiers.</w:t>
      </w:r>
    </w:p>
    <w:p w14:paraId="4D7ACC09" w14:textId="27192E4E" w:rsidR="00CE7460" w:rsidRDefault="00A218C4" w:rsidP="00B41C02">
      <w:pPr>
        <w:jc w:val="both"/>
        <w:rPr>
          <w:rFonts w:ascii="Tahoma" w:hAnsi="Tahoma" w:cs="Tahoma"/>
        </w:rPr>
      </w:pPr>
      <w:r>
        <w:rPr>
          <w:rFonts w:ascii="Tahoma" w:hAnsi="Tahoma" w:cs="Tahoma"/>
        </w:rPr>
        <w:t xml:space="preserve">Les twists du nuage futur confirment pour le moment mon scénario favori qui plaide pour une large consolidation </w:t>
      </w:r>
      <w:r w:rsidR="003349C5">
        <w:rPr>
          <w:rFonts w:ascii="Tahoma" w:hAnsi="Tahoma" w:cs="Tahoma"/>
        </w:rPr>
        <w:t>au-dessus</w:t>
      </w:r>
      <w:r>
        <w:rPr>
          <w:rFonts w:ascii="Tahoma" w:hAnsi="Tahoma" w:cs="Tahoma"/>
        </w:rPr>
        <w:t xml:space="preserve"> de 126.71.</w:t>
      </w:r>
      <w:r w:rsidR="00CE7460">
        <w:rPr>
          <w:rFonts w:ascii="Tahoma" w:hAnsi="Tahoma" w:cs="Tahoma"/>
        </w:rPr>
        <w:t xml:space="preserve"> </w:t>
      </w:r>
    </w:p>
    <w:p w14:paraId="171B9E61" w14:textId="69603AA8" w:rsidR="00172ACF" w:rsidRDefault="00CE7460" w:rsidP="00B41C02">
      <w:pPr>
        <w:jc w:val="both"/>
        <w:rPr>
          <w:rFonts w:ascii="Tahoma" w:hAnsi="Tahoma" w:cs="Tahoma"/>
        </w:rPr>
      </w:pPr>
      <w:r>
        <w:rPr>
          <w:rFonts w:ascii="Tahoma" w:hAnsi="Tahoma" w:cs="Tahoma"/>
        </w:rPr>
        <w:t xml:space="preserve">Dans ce contexte la poursuite de la baisse qui semble se dessiner devrait trouver comme limite le point bas et </w:t>
      </w:r>
      <w:r w:rsidR="00662809">
        <w:rPr>
          <w:rFonts w:ascii="Tahoma" w:hAnsi="Tahoma" w:cs="Tahoma"/>
        </w:rPr>
        <w:t xml:space="preserve">le </w:t>
      </w:r>
      <w:r>
        <w:rPr>
          <w:rFonts w:ascii="Tahoma" w:hAnsi="Tahoma" w:cs="Tahoma"/>
        </w:rPr>
        <w:t>plat de SSB passée</w:t>
      </w:r>
      <w:r w:rsidR="00662809">
        <w:rPr>
          <w:rFonts w:ascii="Tahoma" w:hAnsi="Tahoma" w:cs="Tahoma"/>
        </w:rPr>
        <w:t xml:space="preserve"> </w:t>
      </w:r>
      <w:r w:rsidR="00662809">
        <w:rPr>
          <w:rFonts w:ascii="Tahoma" w:hAnsi="Tahoma" w:cs="Tahoma"/>
        </w:rPr>
        <w:t>de 126.71</w:t>
      </w:r>
      <w:r>
        <w:rPr>
          <w:rFonts w:ascii="Tahoma" w:hAnsi="Tahoma" w:cs="Tahoma"/>
        </w:rPr>
        <w: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4783EC81" w:rsidR="00163C46" w:rsidRDefault="00E43BB3" w:rsidP="00263ED0">
      <w:pPr>
        <w:jc w:val="both"/>
        <w:rPr>
          <w:rFonts w:ascii="Tahoma" w:hAnsi="Tahoma" w:cs="Tahoma"/>
        </w:rPr>
      </w:pPr>
      <w:r>
        <w:rPr>
          <w:noProof/>
        </w:rPr>
        <w:lastRenderedPageBreak/>
        <w:drawing>
          <wp:inline distT="0" distB="0" distL="0" distR="0" wp14:anchorId="28C65FEE" wp14:editId="29E5DA70">
            <wp:extent cx="5760720" cy="4320540"/>
            <wp:effectExtent l="0" t="0" r="0" b="3810"/>
            <wp:docPr id="108163018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1377E3B6" w:rsidR="00467005" w:rsidRDefault="00CE7460" w:rsidP="00041E45">
      <w:pPr>
        <w:jc w:val="both"/>
        <w:rPr>
          <w:rFonts w:ascii="Tahoma" w:hAnsi="Tahoma" w:cs="Tahoma"/>
        </w:rPr>
      </w:pPr>
      <w:r>
        <w:rPr>
          <w:rFonts w:ascii="Tahoma" w:hAnsi="Tahoma" w:cs="Tahoma"/>
        </w:rPr>
        <w:t xml:space="preserve">Sur le court terme, l’indécision est dominante. Après la formation d’un harami en croix (J-3 et J-2), la séance de vendredi a prolongé </w:t>
      </w:r>
      <w:r w:rsidR="002C48E2">
        <w:rPr>
          <w:rFonts w:ascii="Tahoma" w:hAnsi="Tahoma" w:cs="Tahoma"/>
        </w:rPr>
        <w:t>c</w:t>
      </w:r>
      <w:r>
        <w:rPr>
          <w:rFonts w:ascii="Tahoma" w:hAnsi="Tahoma" w:cs="Tahoma"/>
        </w:rPr>
        <w:t>e sentiment de doute. En effet le harami en croix exprimant l’affaiblissement du mouvement baissier, aurait dû déboucher sur u</w:t>
      </w:r>
      <w:r w:rsidR="00570D5F">
        <w:rPr>
          <w:rFonts w:ascii="Tahoma" w:hAnsi="Tahoma" w:cs="Tahoma"/>
        </w:rPr>
        <w:t xml:space="preserve">n retour de la hausse des prix. </w:t>
      </w:r>
      <w:r w:rsidR="00142870">
        <w:rPr>
          <w:rFonts w:ascii="Tahoma" w:hAnsi="Tahoma" w:cs="Tahoma"/>
        </w:rPr>
        <w:t>Mais c</w:t>
      </w:r>
      <w:r w:rsidR="00570D5F">
        <w:rPr>
          <w:rFonts w:ascii="Tahoma" w:hAnsi="Tahoma" w:cs="Tahoma"/>
        </w:rPr>
        <w:t>e</w:t>
      </w:r>
      <w:r w:rsidR="002C48E2">
        <w:rPr>
          <w:rFonts w:ascii="Tahoma" w:hAnsi="Tahoma" w:cs="Tahoma"/>
        </w:rPr>
        <w:t>la</w:t>
      </w:r>
      <w:r w:rsidR="00570D5F">
        <w:rPr>
          <w:rFonts w:ascii="Tahoma" w:hAnsi="Tahoma" w:cs="Tahoma"/>
        </w:rPr>
        <w:t xml:space="preserve"> n’a pas été le cas</w:t>
      </w:r>
      <w:r w:rsidR="00142870">
        <w:rPr>
          <w:rFonts w:ascii="Tahoma" w:hAnsi="Tahoma" w:cs="Tahoma"/>
        </w:rPr>
        <w:t xml:space="preserve">, probablement </w:t>
      </w:r>
      <w:r w:rsidR="002C48E2">
        <w:rPr>
          <w:rFonts w:ascii="Tahoma" w:hAnsi="Tahoma" w:cs="Tahoma"/>
        </w:rPr>
        <w:t>par manque</w:t>
      </w:r>
      <w:r w:rsidR="00570D5F">
        <w:rPr>
          <w:rFonts w:ascii="Tahoma" w:hAnsi="Tahoma" w:cs="Tahoma"/>
        </w:rPr>
        <w:t xml:space="preserve"> de conviction haussière.</w:t>
      </w:r>
    </w:p>
    <w:p w14:paraId="10BB9766" w14:textId="5381231F" w:rsidR="00723F77" w:rsidRDefault="006C607C" w:rsidP="00041E45">
      <w:pPr>
        <w:jc w:val="both"/>
        <w:rPr>
          <w:rFonts w:ascii="Tahoma" w:hAnsi="Tahoma" w:cs="Tahoma"/>
        </w:rPr>
      </w:pPr>
      <w:r>
        <w:rPr>
          <w:rFonts w:ascii="Tahoma" w:hAnsi="Tahoma" w:cs="Tahoma"/>
        </w:rPr>
        <w:t>Quoi qu’il en soit, une hausse des prix reste possible, la dernière bougie de la semaine n’a pas remis en question l</w:t>
      </w:r>
      <w:r w:rsidR="009D25BC">
        <w:rPr>
          <w:rFonts w:ascii="Tahoma" w:hAnsi="Tahoma" w:cs="Tahoma"/>
        </w:rPr>
        <w:t>a stabili</w:t>
      </w:r>
      <w:r w:rsidR="00BA7D4F">
        <w:rPr>
          <w:rFonts w:ascii="Tahoma" w:hAnsi="Tahoma" w:cs="Tahoma"/>
        </w:rPr>
        <w:t>sation</w:t>
      </w:r>
      <w:r w:rsidR="009D25BC">
        <w:rPr>
          <w:rFonts w:ascii="Tahoma" w:hAnsi="Tahoma" w:cs="Tahoma"/>
        </w:rPr>
        <w:t xml:space="preserve"> des cours de la veille.</w:t>
      </w:r>
      <w:r w:rsidR="004D4515">
        <w:rPr>
          <w:rFonts w:ascii="Tahoma" w:hAnsi="Tahoma" w:cs="Tahoma"/>
        </w:rPr>
        <w:t xml:space="preserve"> Nous avons aujourd’hui un support sur 128.75, sous lequel le mouvement de baisse </w:t>
      </w:r>
      <w:r w:rsidR="00BA7D4F">
        <w:rPr>
          <w:rFonts w:ascii="Tahoma" w:hAnsi="Tahoma" w:cs="Tahoma"/>
        </w:rPr>
        <w:t>pourra repartir</w:t>
      </w:r>
      <w:r w:rsidR="004D4515">
        <w:rPr>
          <w:rFonts w:ascii="Tahoma" w:hAnsi="Tahoma" w:cs="Tahoma"/>
        </w:rPr>
        <w:t xml:space="preserve"> pour venir chercher 126.71. </w:t>
      </w:r>
      <w:r w:rsidR="00CB1B05">
        <w:rPr>
          <w:rFonts w:ascii="Tahoma" w:hAnsi="Tahoma" w:cs="Tahoma"/>
        </w:rPr>
        <w:t>F</w:t>
      </w:r>
      <w:r w:rsidR="004D4515">
        <w:rPr>
          <w:rFonts w:ascii="Tahoma" w:hAnsi="Tahoma" w:cs="Tahoma"/>
        </w:rPr>
        <w:t>ace à ce support</w:t>
      </w:r>
      <w:r w:rsidR="00CB1B05">
        <w:rPr>
          <w:rFonts w:ascii="Tahoma" w:hAnsi="Tahoma" w:cs="Tahoma"/>
        </w:rPr>
        <w:t xml:space="preserve"> de 128.75</w:t>
      </w:r>
      <w:r w:rsidR="004D4515">
        <w:rPr>
          <w:rFonts w:ascii="Tahoma" w:hAnsi="Tahoma" w:cs="Tahoma"/>
        </w:rPr>
        <w:t>, un dépassement de 129.44 traduira une nouvelle tentative de reprise en main du marché par les haussiers.</w:t>
      </w:r>
    </w:p>
    <w:p w14:paraId="0CC39DA8" w14:textId="77777777" w:rsidR="00886FB5" w:rsidRDefault="00886FB5" w:rsidP="00041E45">
      <w:pPr>
        <w:jc w:val="both"/>
        <w:rPr>
          <w:rFonts w:ascii="Tahoma" w:hAnsi="Tahoma" w:cs="Tahoma"/>
        </w:rPr>
      </w:pPr>
    </w:p>
    <w:p w14:paraId="4433F973" w14:textId="33DB5976" w:rsidR="004D4515"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D4515">
        <w:rPr>
          <w:rFonts w:ascii="Tahoma" w:hAnsi="Tahoma" w:cs="Tahoma"/>
        </w:rPr>
        <w:t xml:space="preserve"> Malgré plusieurs tentatives de reprise en main du marché par les acheteurs, le manque de conviction de ces derniers laisse penser que la baisse se poursuivra pour venir chercher le point bas de 126.71. Ce point représente la cible </w:t>
      </w:r>
      <w:r w:rsidR="005A7A4C">
        <w:rPr>
          <w:rFonts w:ascii="Tahoma" w:hAnsi="Tahoma" w:cs="Tahoma"/>
        </w:rPr>
        <w:t xml:space="preserve">au sein </w:t>
      </w:r>
      <w:r w:rsidR="004D4515">
        <w:rPr>
          <w:rFonts w:ascii="Tahoma" w:hAnsi="Tahoma" w:cs="Tahoma"/>
        </w:rPr>
        <w:t>d’un mouvement plus large de consolidation.</w:t>
      </w:r>
    </w:p>
    <w:p w14:paraId="258EB8FF" w14:textId="62251C0C" w:rsidR="00B94D71" w:rsidRDefault="004D4515" w:rsidP="00B94D71">
      <w:pPr>
        <w:jc w:val="both"/>
        <w:rPr>
          <w:rFonts w:ascii="Tahoma" w:hAnsi="Tahoma" w:cs="Tahoma"/>
        </w:rPr>
      </w:pPr>
      <w:r>
        <w:rPr>
          <w:rFonts w:ascii="Tahoma" w:hAnsi="Tahoma" w:cs="Tahoma"/>
        </w:rPr>
        <w:t xml:space="preserve">En l’absence de convictions fortes, et sans remettre en cause le </w:t>
      </w:r>
      <w:r w:rsidR="003349C5">
        <w:rPr>
          <w:rFonts w:ascii="Tahoma" w:hAnsi="Tahoma" w:cs="Tahoma"/>
        </w:rPr>
        <w:t>scénario</w:t>
      </w:r>
      <w:r>
        <w:rPr>
          <w:rFonts w:ascii="Tahoma" w:hAnsi="Tahoma" w:cs="Tahoma"/>
        </w:rPr>
        <w:t xml:space="preserve"> de consolidation sur des horizons plus longs, les hausses possibles sur le court terme devraient </w:t>
      </w:r>
      <w:r w:rsidR="003349C5">
        <w:rPr>
          <w:rFonts w:ascii="Tahoma" w:hAnsi="Tahoma" w:cs="Tahoma"/>
        </w:rPr>
        <w:t>être</w:t>
      </w:r>
      <w:r>
        <w:rPr>
          <w:rFonts w:ascii="Tahoma" w:hAnsi="Tahoma" w:cs="Tahoma"/>
        </w:rPr>
        <w:t xml:space="preserve"> limitées. Le plat de KS Daily de 130.43 pourra </w:t>
      </w:r>
      <w:r w:rsidR="005A7A4C">
        <w:rPr>
          <w:rFonts w:ascii="Tahoma" w:hAnsi="Tahoma" w:cs="Tahoma"/>
        </w:rPr>
        <w:t xml:space="preserve">ainsi </w:t>
      </w:r>
      <w:r>
        <w:rPr>
          <w:rFonts w:ascii="Tahoma" w:hAnsi="Tahoma" w:cs="Tahoma"/>
        </w:rPr>
        <w:t xml:space="preserve">servir de résistance. </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4A64"/>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2870"/>
    <w:rsid w:val="0014687D"/>
    <w:rsid w:val="0015581D"/>
    <w:rsid w:val="00163C46"/>
    <w:rsid w:val="001705F4"/>
    <w:rsid w:val="00172ACF"/>
    <w:rsid w:val="00190995"/>
    <w:rsid w:val="001A4796"/>
    <w:rsid w:val="001D474B"/>
    <w:rsid w:val="001F650A"/>
    <w:rsid w:val="002003AD"/>
    <w:rsid w:val="002421FE"/>
    <w:rsid w:val="00262E25"/>
    <w:rsid w:val="00263ED0"/>
    <w:rsid w:val="002A1F8E"/>
    <w:rsid w:val="002A55E1"/>
    <w:rsid w:val="002B5CB1"/>
    <w:rsid w:val="002C0A31"/>
    <w:rsid w:val="002C48E2"/>
    <w:rsid w:val="002F54B0"/>
    <w:rsid w:val="00303214"/>
    <w:rsid w:val="0030643B"/>
    <w:rsid w:val="003349C5"/>
    <w:rsid w:val="00337611"/>
    <w:rsid w:val="00340FD9"/>
    <w:rsid w:val="00352DD9"/>
    <w:rsid w:val="00355B46"/>
    <w:rsid w:val="003767E0"/>
    <w:rsid w:val="00397D3D"/>
    <w:rsid w:val="003C7838"/>
    <w:rsid w:val="003E2191"/>
    <w:rsid w:val="0040171B"/>
    <w:rsid w:val="00467005"/>
    <w:rsid w:val="004A2D2D"/>
    <w:rsid w:val="004A5154"/>
    <w:rsid w:val="004D4515"/>
    <w:rsid w:val="004F48EE"/>
    <w:rsid w:val="00531928"/>
    <w:rsid w:val="005440A4"/>
    <w:rsid w:val="00546A5A"/>
    <w:rsid w:val="00566580"/>
    <w:rsid w:val="00567AF3"/>
    <w:rsid w:val="00570D5F"/>
    <w:rsid w:val="00583BC8"/>
    <w:rsid w:val="005A7A4C"/>
    <w:rsid w:val="006407E8"/>
    <w:rsid w:val="00654380"/>
    <w:rsid w:val="00662809"/>
    <w:rsid w:val="00664BE1"/>
    <w:rsid w:val="006B055C"/>
    <w:rsid w:val="006C607C"/>
    <w:rsid w:val="006E32BB"/>
    <w:rsid w:val="006E38E0"/>
    <w:rsid w:val="00706B09"/>
    <w:rsid w:val="00710599"/>
    <w:rsid w:val="00710E1B"/>
    <w:rsid w:val="00723F77"/>
    <w:rsid w:val="00744696"/>
    <w:rsid w:val="00772067"/>
    <w:rsid w:val="0077545D"/>
    <w:rsid w:val="007A0A4B"/>
    <w:rsid w:val="007A0E6C"/>
    <w:rsid w:val="007B1237"/>
    <w:rsid w:val="007B661D"/>
    <w:rsid w:val="007B6FF4"/>
    <w:rsid w:val="007D19FF"/>
    <w:rsid w:val="007D2085"/>
    <w:rsid w:val="007D4181"/>
    <w:rsid w:val="007F2BF5"/>
    <w:rsid w:val="0081480F"/>
    <w:rsid w:val="0083454A"/>
    <w:rsid w:val="00837B38"/>
    <w:rsid w:val="00886FB5"/>
    <w:rsid w:val="00896554"/>
    <w:rsid w:val="008A7407"/>
    <w:rsid w:val="008D0A94"/>
    <w:rsid w:val="008F10C2"/>
    <w:rsid w:val="00902D2F"/>
    <w:rsid w:val="00961FDF"/>
    <w:rsid w:val="00983B7D"/>
    <w:rsid w:val="009A37C2"/>
    <w:rsid w:val="009D25BC"/>
    <w:rsid w:val="009F3AB8"/>
    <w:rsid w:val="00A11606"/>
    <w:rsid w:val="00A218C4"/>
    <w:rsid w:val="00A6401C"/>
    <w:rsid w:val="00A81AB7"/>
    <w:rsid w:val="00AA522C"/>
    <w:rsid w:val="00AE7F3B"/>
    <w:rsid w:val="00B34260"/>
    <w:rsid w:val="00B41C02"/>
    <w:rsid w:val="00B4335A"/>
    <w:rsid w:val="00B50E38"/>
    <w:rsid w:val="00B554B8"/>
    <w:rsid w:val="00B64EE0"/>
    <w:rsid w:val="00B94D71"/>
    <w:rsid w:val="00BA7D4F"/>
    <w:rsid w:val="00BB0E32"/>
    <w:rsid w:val="00BB6D9D"/>
    <w:rsid w:val="00BC77A5"/>
    <w:rsid w:val="00BD3FC1"/>
    <w:rsid w:val="00BD423A"/>
    <w:rsid w:val="00C17ED7"/>
    <w:rsid w:val="00C41F15"/>
    <w:rsid w:val="00C70171"/>
    <w:rsid w:val="00C70A68"/>
    <w:rsid w:val="00C82E98"/>
    <w:rsid w:val="00CB17C9"/>
    <w:rsid w:val="00CB1B05"/>
    <w:rsid w:val="00CC72FF"/>
    <w:rsid w:val="00CC7C21"/>
    <w:rsid w:val="00CE0886"/>
    <w:rsid w:val="00CE7460"/>
    <w:rsid w:val="00CF2516"/>
    <w:rsid w:val="00CF6D63"/>
    <w:rsid w:val="00D23B28"/>
    <w:rsid w:val="00D46C8D"/>
    <w:rsid w:val="00DA1359"/>
    <w:rsid w:val="00DE11BF"/>
    <w:rsid w:val="00DE5444"/>
    <w:rsid w:val="00DF072F"/>
    <w:rsid w:val="00E32014"/>
    <w:rsid w:val="00E3329A"/>
    <w:rsid w:val="00E3727C"/>
    <w:rsid w:val="00E43BB3"/>
    <w:rsid w:val="00EB58BA"/>
    <w:rsid w:val="00EE6B93"/>
    <w:rsid w:val="00F04A6E"/>
    <w:rsid w:val="00F04DEF"/>
    <w:rsid w:val="00F11BF5"/>
    <w:rsid w:val="00F31070"/>
    <w:rsid w:val="00F53F10"/>
    <w:rsid w:val="00F636F8"/>
    <w:rsid w:val="00FA2C8E"/>
    <w:rsid w:val="00FC1860"/>
    <w:rsid w:val="00FC7EA5"/>
    <w:rsid w:val="00FF36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4</Pages>
  <Words>684</Words>
  <Characters>3762</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120</cp:revision>
  <dcterms:created xsi:type="dcterms:W3CDTF">2021-11-25T09:44:00Z</dcterms:created>
  <dcterms:modified xsi:type="dcterms:W3CDTF">2024-06-02T13:48:00Z</dcterms:modified>
</cp:coreProperties>
</file>