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7CB3900E" w:rsidR="00902D2F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67AE19A" w14:textId="19A39115" w:rsidR="00331404" w:rsidRPr="00041E45" w:rsidRDefault="00331404" w:rsidP="00331404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132DBDF8" w14:textId="78BE284D" w:rsidR="00331404" w:rsidRDefault="009A3A11" w:rsidP="00331404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C6B5CFB" wp14:editId="2F00F150">
            <wp:extent cx="5760720" cy="4320540"/>
            <wp:effectExtent l="0" t="0" r="0" b="3810"/>
            <wp:docPr id="2084777847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6F6AA" w14:textId="19619DFA" w:rsidR="00331404" w:rsidRDefault="00331404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EB711E">
        <w:rPr>
          <w:rFonts w:ascii="Tahoma" w:hAnsi="Tahoma" w:cs="Tahoma"/>
        </w:rPr>
        <w:t>e contexte de long terme est baissier. Les cours et la LS évoluent sous leur nuage respectif et donnent la tendance de fond</w:t>
      </w:r>
      <w:r w:rsidR="00B009A1">
        <w:rPr>
          <w:rFonts w:ascii="Tahoma" w:hAnsi="Tahoma" w:cs="Tahoma"/>
        </w:rPr>
        <w:t>.</w:t>
      </w:r>
    </w:p>
    <w:p w14:paraId="60A0CF3B" w14:textId="44A8DC64" w:rsidR="000D0FD4" w:rsidRDefault="00B009A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supports et les résistances sur cet horizon de temps sont donnés par des plats passés de SSA (126.</w:t>
      </w:r>
      <w:r w:rsidR="00E527AB">
        <w:rPr>
          <w:rFonts w:ascii="Tahoma" w:hAnsi="Tahoma" w:cs="Tahoma"/>
        </w:rPr>
        <w:t>90</w:t>
      </w:r>
      <w:r>
        <w:rPr>
          <w:rFonts w:ascii="Tahoma" w:hAnsi="Tahoma" w:cs="Tahoma"/>
        </w:rPr>
        <w:t>), de TS (131.0</w:t>
      </w:r>
      <w:r w:rsidR="00E527AB">
        <w:rPr>
          <w:rFonts w:ascii="Tahoma" w:hAnsi="Tahoma" w:cs="Tahoma"/>
        </w:rPr>
        <w:t>5</w:t>
      </w:r>
      <w:r>
        <w:rPr>
          <w:rFonts w:ascii="Tahoma" w:hAnsi="Tahoma" w:cs="Tahoma"/>
        </w:rPr>
        <w:t>)</w:t>
      </w:r>
      <w:r w:rsidR="00AA528D">
        <w:rPr>
          <w:rFonts w:ascii="Tahoma" w:hAnsi="Tahoma" w:cs="Tahoma"/>
        </w:rPr>
        <w:t xml:space="preserve"> et</w:t>
      </w:r>
      <w:r>
        <w:rPr>
          <w:rFonts w:ascii="Tahoma" w:hAnsi="Tahoma" w:cs="Tahoma"/>
        </w:rPr>
        <w:t xml:space="preserve"> de KS (136.4</w:t>
      </w:r>
      <w:r w:rsidR="00E527AB">
        <w:rPr>
          <w:rFonts w:ascii="Tahoma" w:hAnsi="Tahoma" w:cs="Tahoma"/>
        </w:rPr>
        <w:t>5</w:t>
      </w:r>
      <w:r>
        <w:rPr>
          <w:rFonts w:ascii="Tahoma" w:hAnsi="Tahoma" w:cs="Tahoma"/>
        </w:rPr>
        <w:t>)</w:t>
      </w:r>
      <w:r w:rsidR="00E527AB">
        <w:rPr>
          <w:rFonts w:ascii="Tahoma" w:hAnsi="Tahoma" w:cs="Tahoma"/>
        </w:rPr>
        <w:t>. A l’heure actuelle, les deux premier</w:t>
      </w:r>
      <w:r w:rsidR="00A30742">
        <w:rPr>
          <w:rFonts w:ascii="Tahoma" w:hAnsi="Tahoma" w:cs="Tahoma"/>
        </w:rPr>
        <w:t>s points</w:t>
      </w:r>
      <w:r w:rsidR="00E527AB">
        <w:rPr>
          <w:rFonts w:ascii="Tahoma" w:hAnsi="Tahoma" w:cs="Tahoma"/>
        </w:rPr>
        <w:t xml:space="preserve"> seront des supports alors que l</w:t>
      </w:r>
      <w:r w:rsidR="00A30742">
        <w:rPr>
          <w:rFonts w:ascii="Tahoma" w:hAnsi="Tahoma" w:cs="Tahoma"/>
        </w:rPr>
        <w:t>e</w:t>
      </w:r>
      <w:r w:rsidR="00E527AB">
        <w:rPr>
          <w:rFonts w:ascii="Tahoma" w:hAnsi="Tahoma" w:cs="Tahoma"/>
        </w:rPr>
        <w:t xml:space="preserve"> troisième servira de résistance.</w:t>
      </w:r>
      <w:r w:rsidR="000D0FD4">
        <w:rPr>
          <w:rFonts w:ascii="Tahoma" w:hAnsi="Tahoma" w:cs="Tahoma"/>
        </w:rPr>
        <w:t xml:space="preserve"> Dans l’éventualité d’une poursuite de la hausse des cours, la LS trouvera en résistance la barrière des prix qui débutera sur le niveau du plat de KS passée de 136.45.</w:t>
      </w:r>
    </w:p>
    <w:p w14:paraId="1FD73BC8" w14:textId="0F9285D2" w:rsidR="000F2F2E" w:rsidRDefault="000F2F2E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chandelle du mois d’août représente une étoile filante qui se classe dans les lignes d’alerte baissière.</w:t>
      </w:r>
      <w:r w:rsidR="00B535E0">
        <w:rPr>
          <w:rFonts w:ascii="Tahoma" w:hAnsi="Tahoma" w:cs="Tahoma"/>
        </w:rPr>
        <w:t xml:space="preserve"> Sa mèche haute nous indique que la poursuite du mouvement haussier qui a débuté sur 128.89, </w:t>
      </w:r>
      <w:r w:rsidR="002F7E1F">
        <w:rPr>
          <w:rFonts w:ascii="Tahoma" w:hAnsi="Tahoma" w:cs="Tahoma"/>
        </w:rPr>
        <w:t>n</w:t>
      </w:r>
      <w:r w:rsidR="00AA528D">
        <w:rPr>
          <w:rFonts w:ascii="Tahoma" w:hAnsi="Tahoma" w:cs="Tahoma"/>
        </w:rPr>
        <w:t>’a plus</w:t>
      </w:r>
      <w:r w:rsidR="00B535E0">
        <w:rPr>
          <w:rFonts w:ascii="Tahoma" w:hAnsi="Tahoma" w:cs="Tahoma"/>
        </w:rPr>
        <w:t xml:space="preserve"> fait </w:t>
      </w:r>
      <w:r w:rsidR="002F7E1F">
        <w:rPr>
          <w:rFonts w:ascii="Tahoma" w:hAnsi="Tahoma" w:cs="Tahoma"/>
        </w:rPr>
        <w:t>l’unanimité.</w:t>
      </w:r>
      <w:r w:rsidR="007F0900">
        <w:rPr>
          <w:rFonts w:ascii="Tahoma" w:hAnsi="Tahoma" w:cs="Tahoma"/>
        </w:rPr>
        <w:t xml:space="preserve"> </w:t>
      </w:r>
      <w:r w:rsidR="00AA528D">
        <w:rPr>
          <w:rFonts w:ascii="Tahoma" w:hAnsi="Tahoma" w:cs="Tahoma"/>
        </w:rPr>
        <w:t>Cette</w:t>
      </w:r>
      <w:r w:rsidR="007F0900">
        <w:rPr>
          <w:rFonts w:ascii="Tahoma" w:hAnsi="Tahoma" w:cs="Tahoma"/>
        </w:rPr>
        <w:t xml:space="preserve"> mèche dessine une zone de vente qui devra être invalidé</w:t>
      </w:r>
      <w:r w:rsidR="00AA528D">
        <w:rPr>
          <w:rFonts w:ascii="Tahoma" w:hAnsi="Tahoma" w:cs="Tahoma"/>
        </w:rPr>
        <w:t>e</w:t>
      </w:r>
      <w:r w:rsidR="007F0900">
        <w:rPr>
          <w:rFonts w:ascii="Tahoma" w:hAnsi="Tahoma" w:cs="Tahoma"/>
        </w:rPr>
        <w:t xml:space="preserve"> pour envisager de nouveaux hauts.</w:t>
      </w:r>
      <w:r w:rsidR="00C07C3B">
        <w:rPr>
          <w:rFonts w:ascii="Tahoma" w:hAnsi="Tahoma" w:cs="Tahoma"/>
        </w:rPr>
        <w:t xml:space="preserve"> Les haussiers gardent la main mais </w:t>
      </w:r>
      <w:r w:rsidR="00037AC3">
        <w:rPr>
          <w:rFonts w:ascii="Tahoma" w:hAnsi="Tahoma" w:cs="Tahoma"/>
        </w:rPr>
        <w:t xml:space="preserve">chercheront à </w:t>
      </w:r>
      <w:r w:rsidR="00B90E69">
        <w:rPr>
          <w:rFonts w:ascii="Tahoma" w:hAnsi="Tahoma" w:cs="Tahoma"/>
        </w:rPr>
        <w:t>protéger</w:t>
      </w:r>
      <w:r w:rsidR="00037AC3">
        <w:rPr>
          <w:rFonts w:ascii="Tahoma" w:hAnsi="Tahoma" w:cs="Tahoma"/>
        </w:rPr>
        <w:t xml:space="preserve"> leurs gains</w:t>
      </w:r>
      <w:r w:rsidR="00C07C3B">
        <w:rPr>
          <w:rFonts w:ascii="Tahoma" w:hAnsi="Tahoma" w:cs="Tahoma"/>
        </w:rPr>
        <w:t xml:space="preserve"> au moindr</w:t>
      </w:r>
      <w:r w:rsidR="00037AC3">
        <w:rPr>
          <w:rFonts w:ascii="Tahoma" w:hAnsi="Tahoma" w:cs="Tahoma"/>
        </w:rPr>
        <w:t>e</w:t>
      </w:r>
      <w:r w:rsidR="00C07C3B">
        <w:rPr>
          <w:rFonts w:ascii="Tahoma" w:hAnsi="Tahoma" w:cs="Tahoma"/>
        </w:rPr>
        <w:t xml:space="preserve"> signal négatif. </w:t>
      </w:r>
    </w:p>
    <w:p w14:paraId="7BD2692D" w14:textId="41EC4BD2" w:rsidR="003A5FE3" w:rsidRPr="00B009A1" w:rsidRDefault="003A5FE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Graphiquement, un double creux irrégulier est en formation. La ligne de cou se situe sur 138.74. Soit </w:t>
      </w:r>
      <w:r w:rsidR="00B90E69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la résistance de 136.45. En dépassement de 138.74, l’objectif théorique de cette figure se situera sur </w:t>
      </w:r>
      <w:r w:rsidR="00605126">
        <w:rPr>
          <w:rFonts w:ascii="Tahoma" w:hAnsi="Tahoma" w:cs="Tahoma"/>
        </w:rPr>
        <w:t>148.35.</w:t>
      </w:r>
    </w:p>
    <w:p w14:paraId="6A0F7EC2" w14:textId="34F04C5B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</w:t>
      </w:r>
      <w:r w:rsidR="009A3A11">
        <w:rPr>
          <w:rFonts w:ascii="Tahoma" w:hAnsi="Tahoma" w:cs="Tahoma"/>
          <w:sz w:val="32"/>
          <w:szCs w:val="32"/>
          <w:u w:val="single"/>
        </w:rPr>
        <w:t>k</w:t>
      </w:r>
    </w:p>
    <w:p w14:paraId="2862B446" w14:textId="043628E3" w:rsidR="00902D2F" w:rsidRDefault="009A3A11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4E333A8A" wp14:editId="6182F75E">
            <wp:extent cx="5760720" cy="4320540"/>
            <wp:effectExtent l="0" t="0" r="0" b="3810"/>
            <wp:docPr id="278191371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4D2D2" w14:textId="71CC0EF5" w:rsidR="00DF072F" w:rsidRDefault="00041E4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5755E7">
        <w:rPr>
          <w:rFonts w:ascii="Tahoma" w:hAnsi="Tahoma" w:cs="Tahoma"/>
        </w:rPr>
        <w:t xml:space="preserve">a tendance baissière a pris fin en fin d’année 2023 après un premier twist du nuage. </w:t>
      </w:r>
      <w:r w:rsidR="00E82D25">
        <w:rPr>
          <w:rFonts w:ascii="Tahoma" w:hAnsi="Tahoma" w:cs="Tahoma"/>
        </w:rPr>
        <w:t>Pour autant, ce croisement de SSA/SSB ne s’est pas matérialisé par un changement de tendance favorable à la hausse.</w:t>
      </w:r>
    </w:p>
    <w:p w14:paraId="3A5A9E73" w14:textId="776D1FD2" w:rsidR="00E82D25" w:rsidRDefault="00E82D2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croisements débouchent souvent sur des périodes de consolidation sous la forme de dérives latérales. Plus les croisement</w:t>
      </w:r>
      <w:r w:rsidR="00597062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seront nombreux et plus </w:t>
      </w:r>
      <w:r w:rsidR="008C31E0">
        <w:rPr>
          <w:rFonts w:ascii="Tahoma" w:hAnsi="Tahoma" w:cs="Tahoma"/>
        </w:rPr>
        <w:t xml:space="preserve">le scénario d’un marché sans tendance </w:t>
      </w:r>
      <w:r w:rsidR="005466F7">
        <w:rPr>
          <w:rFonts w:ascii="Tahoma" w:hAnsi="Tahoma" w:cs="Tahoma"/>
        </w:rPr>
        <w:t>prendra de la force.</w:t>
      </w:r>
    </w:p>
    <w:p w14:paraId="0CDF354E" w14:textId="4B09E7F9" w:rsidR="005466F7" w:rsidRDefault="005466F7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j’ai cadré le marché entre des hauts et bas récents c’est-à-dire 128.02 et 138.74. </w:t>
      </w:r>
      <w:r w:rsidR="00331840">
        <w:rPr>
          <w:rFonts w:ascii="Tahoma" w:hAnsi="Tahoma" w:cs="Tahoma"/>
        </w:rPr>
        <w:t>L</w:t>
      </w:r>
      <w:r w:rsidR="00F31570">
        <w:rPr>
          <w:rFonts w:ascii="Tahoma" w:hAnsi="Tahoma" w:cs="Tahoma"/>
        </w:rPr>
        <w:t xml:space="preserve">a zone d’équilibre se situe sur 132.90. Elle se matérialise par un plat de SSB. </w:t>
      </w:r>
      <w:r w:rsidR="006E13EB">
        <w:rPr>
          <w:rFonts w:ascii="Tahoma" w:hAnsi="Tahoma" w:cs="Tahoma"/>
        </w:rPr>
        <w:t>Dans ce contexte</w:t>
      </w:r>
      <w:r w:rsidR="00CA4CBC">
        <w:rPr>
          <w:rFonts w:ascii="Tahoma" w:hAnsi="Tahoma" w:cs="Tahoma"/>
        </w:rPr>
        <w:t xml:space="preserve"> </w:t>
      </w:r>
      <w:r w:rsidR="00F31570">
        <w:rPr>
          <w:rFonts w:ascii="Tahoma" w:hAnsi="Tahoma" w:cs="Tahoma"/>
        </w:rPr>
        <w:t>concrétisé</w:t>
      </w:r>
      <w:r w:rsidR="00CA4CBC">
        <w:rPr>
          <w:rFonts w:ascii="Tahoma" w:hAnsi="Tahoma" w:cs="Tahoma"/>
        </w:rPr>
        <w:t xml:space="preserve"> par une absence de tendance, </w:t>
      </w:r>
      <w:r w:rsidR="006E13EB">
        <w:rPr>
          <w:rFonts w:ascii="Tahoma" w:hAnsi="Tahoma" w:cs="Tahoma"/>
        </w:rPr>
        <w:t xml:space="preserve">les lignes d’Ichimoku n’ont plus </w:t>
      </w:r>
      <w:r w:rsidR="00A447A4">
        <w:rPr>
          <w:rFonts w:ascii="Tahoma" w:hAnsi="Tahoma" w:cs="Tahoma"/>
        </w:rPr>
        <w:t>le même impact sur les prix. Elles ne serviront plus de support ou de résistance.</w:t>
      </w:r>
      <w:r w:rsidR="00F91AC7">
        <w:rPr>
          <w:rFonts w:ascii="Tahoma" w:hAnsi="Tahoma" w:cs="Tahoma"/>
        </w:rPr>
        <w:t xml:space="preserve"> Dorénavant l</w:t>
      </w:r>
      <w:r w:rsidR="00F31570">
        <w:rPr>
          <w:rFonts w:ascii="Tahoma" w:hAnsi="Tahoma" w:cs="Tahoma"/>
        </w:rPr>
        <w:t>es points à prendre en compte sont le support de 128.00, la résistance de 138.75 et la zone d’équilibre de 132.90. La position des prix par rapport à cette zone d’équilibre permettra d’envisager un test du support ou de la résistance sachant que l’invalidation de l’un de ces point</w:t>
      </w:r>
      <w:r w:rsidR="00B90E69">
        <w:rPr>
          <w:rFonts w:ascii="Tahoma" w:hAnsi="Tahoma" w:cs="Tahoma"/>
        </w:rPr>
        <w:t>s</w:t>
      </w:r>
      <w:r w:rsidR="00F31570">
        <w:rPr>
          <w:rFonts w:ascii="Tahoma" w:hAnsi="Tahoma" w:cs="Tahoma"/>
        </w:rPr>
        <w:t xml:space="preserve"> devra se faire par une </w:t>
      </w:r>
      <w:r w:rsidR="00B90E69">
        <w:rPr>
          <w:rFonts w:ascii="Tahoma" w:hAnsi="Tahoma" w:cs="Tahoma"/>
        </w:rPr>
        <w:t>clôture</w:t>
      </w:r>
      <w:r w:rsidR="00F31570">
        <w:rPr>
          <w:rFonts w:ascii="Tahoma" w:hAnsi="Tahoma" w:cs="Tahoma"/>
        </w:rPr>
        <w:t>.</w:t>
      </w:r>
    </w:p>
    <w:p w14:paraId="374D1F17" w14:textId="15DF9F16" w:rsidR="00583BC8" w:rsidRDefault="003B6A0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dépassement de 132.90, l’objectif devient 138.75. la dernière longue chandelle blanche</w:t>
      </w:r>
      <w:r w:rsidR="007B1F41">
        <w:rPr>
          <w:rFonts w:ascii="Tahoma" w:hAnsi="Tahoma" w:cs="Tahoma"/>
        </w:rPr>
        <w:t xml:space="preserve"> remet </w:t>
      </w:r>
      <w:r w:rsidR="00F91AC7">
        <w:rPr>
          <w:rFonts w:ascii="Tahoma" w:hAnsi="Tahoma" w:cs="Tahoma"/>
        </w:rPr>
        <w:t xml:space="preserve">en question </w:t>
      </w:r>
      <w:r w:rsidR="00331840">
        <w:rPr>
          <w:rFonts w:ascii="Tahoma" w:hAnsi="Tahoma" w:cs="Tahoma"/>
        </w:rPr>
        <w:t xml:space="preserve">partiellement </w:t>
      </w:r>
      <w:r w:rsidR="007B1F41">
        <w:rPr>
          <w:rFonts w:ascii="Tahoma" w:hAnsi="Tahoma" w:cs="Tahoma"/>
        </w:rPr>
        <w:t>la baisse des quatre dernières semaines.</w:t>
      </w:r>
      <w:r w:rsidR="000C53DA">
        <w:rPr>
          <w:rFonts w:ascii="Tahoma" w:hAnsi="Tahoma" w:cs="Tahoma"/>
        </w:rPr>
        <w:t xml:space="preserve"> La couverture en nuage noire (T-5) n’a pas permis d’invalider la bougie blanche qui l’a</w:t>
      </w:r>
      <w:r w:rsidR="00331840">
        <w:rPr>
          <w:rFonts w:ascii="Tahoma" w:hAnsi="Tahoma" w:cs="Tahoma"/>
        </w:rPr>
        <w:t>vait</w:t>
      </w:r>
      <w:r w:rsidR="000C53DA">
        <w:rPr>
          <w:rFonts w:ascii="Tahoma" w:hAnsi="Tahoma" w:cs="Tahoma"/>
        </w:rPr>
        <w:t xml:space="preserve"> précédé. </w:t>
      </w:r>
      <w:r w:rsidR="008C00D1">
        <w:rPr>
          <w:rFonts w:ascii="Tahoma" w:hAnsi="Tahoma" w:cs="Tahoma"/>
        </w:rPr>
        <w:t>Le dernier chandelier blanc</w:t>
      </w:r>
      <w:r w:rsidR="00CD47EE">
        <w:rPr>
          <w:rFonts w:ascii="Tahoma" w:hAnsi="Tahoma" w:cs="Tahoma"/>
        </w:rPr>
        <w:t xml:space="preserve"> du graphique</w:t>
      </w:r>
      <w:r w:rsidR="008C00D1">
        <w:rPr>
          <w:rFonts w:ascii="Tahoma" w:hAnsi="Tahoma" w:cs="Tahoma"/>
        </w:rPr>
        <w:t xml:space="preserve"> termine </w:t>
      </w:r>
      <w:r w:rsidR="00F91AC7">
        <w:rPr>
          <w:rFonts w:ascii="Tahoma" w:hAnsi="Tahoma" w:cs="Tahoma"/>
        </w:rPr>
        <w:t>une</w:t>
      </w:r>
      <w:r w:rsidR="008C00D1">
        <w:rPr>
          <w:rFonts w:ascii="Tahoma" w:hAnsi="Tahoma" w:cs="Tahoma"/>
        </w:rPr>
        <w:t xml:space="preserve"> phase positive qui se rapproche </w:t>
      </w:r>
      <w:r w:rsidR="00B90E69">
        <w:rPr>
          <w:rFonts w:ascii="Tahoma" w:hAnsi="Tahoma" w:cs="Tahoma"/>
        </w:rPr>
        <w:t>des trois méthodes ascendantes</w:t>
      </w:r>
      <w:r w:rsidR="008C00D1">
        <w:rPr>
          <w:rFonts w:ascii="Tahoma" w:hAnsi="Tahoma" w:cs="Tahoma"/>
        </w:rPr>
        <w:t xml:space="preserve"> et qui se classe dans </w:t>
      </w:r>
      <w:r w:rsidR="00B90E69">
        <w:rPr>
          <w:rFonts w:ascii="Tahoma" w:hAnsi="Tahoma" w:cs="Tahoma"/>
        </w:rPr>
        <w:t>les structures</w:t>
      </w:r>
      <w:r w:rsidR="008C00D1">
        <w:rPr>
          <w:rFonts w:ascii="Tahoma" w:hAnsi="Tahoma" w:cs="Tahoma"/>
        </w:rPr>
        <w:t xml:space="preserve"> de continuation de mouvement.</w:t>
      </w:r>
      <w:r w:rsidR="002B7CF0">
        <w:rPr>
          <w:rFonts w:ascii="Tahoma" w:hAnsi="Tahoma" w:cs="Tahoma"/>
        </w:rPr>
        <w:tab/>
      </w:r>
      <w:r w:rsidR="002B7CF0">
        <w:rPr>
          <w:rFonts w:ascii="Tahoma" w:hAnsi="Tahoma" w:cs="Tahoma"/>
        </w:rPr>
        <w:tab/>
      </w:r>
      <w:r w:rsidR="002B7CF0">
        <w:rPr>
          <w:rFonts w:ascii="Tahoma" w:hAnsi="Tahoma" w:cs="Tahoma"/>
        </w:rPr>
        <w:tab/>
      </w:r>
      <w:r w:rsidR="002B7CF0">
        <w:rPr>
          <w:rFonts w:ascii="Tahoma" w:hAnsi="Tahoma" w:cs="Tahoma"/>
        </w:rPr>
        <w:tab/>
      </w:r>
      <w:r w:rsidR="002B7CF0">
        <w:rPr>
          <w:rFonts w:ascii="Tahoma" w:hAnsi="Tahoma" w:cs="Tahoma"/>
        </w:rPr>
        <w:tab/>
      </w: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1A92A919" w:rsidR="00583BC8" w:rsidRDefault="009A3A11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033BEE7E" wp14:editId="2D8B94CD">
            <wp:extent cx="5760720" cy="4320540"/>
            <wp:effectExtent l="0" t="0" r="0" b="3810"/>
            <wp:docPr id="1450810679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8B186" w14:textId="41CC3821" w:rsidR="00467005" w:rsidRDefault="00597062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L’observation du court terme apporte une réponse à la consolidation de moyen terme. </w:t>
      </w:r>
      <w:r w:rsidR="004960C7">
        <w:rPr>
          <w:rFonts w:ascii="Tahoma" w:hAnsi="Tahoma" w:cs="Tahoma"/>
        </w:rPr>
        <w:t xml:space="preserve">L’évolution des cours en Daily est favorable à la hausse. Sur cette unité de temps, cours et LS évoluent </w:t>
      </w:r>
      <w:r w:rsidR="00B90E69">
        <w:rPr>
          <w:rFonts w:ascii="Tahoma" w:hAnsi="Tahoma" w:cs="Tahoma"/>
        </w:rPr>
        <w:t>au-dessus</w:t>
      </w:r>
      <w:r w:rsidR="004960C7">
        <w:rPr>
          <w:rFonts w:ascii="Tahoma" w:hAnsi="Tahoma" w:cs="Tahoma"/>
        </w:rPr>
        <w:t xml:space="preserve"> de leur nuage sans obstacle</w:t>
      </w:r>
      <w:r w:rsidR="001D7496">
        <w:rPr>
          <w:rFonts w:ascii="Tahoma" w:hAnsi="Tahoma" w:cs="Tahoma"/>
        </w:rPr>
        <w:t xml:space="preserve">s avant 136.45 </w:t>
      </w:r>
      <w:r w:rsidR="00AC434E">
        <w:rPr>
          <w:rFonts w:ascii="Tahoma" w:hAnsi="Tahoma" w:cs="Tahoma"/>
        </w:rPr>
        <w:t>puis</w:t>
      </w:r>
      <w:r w:rsidR="001D7496">
        <w:rPr>
          <w:rFonts w:ascii="Tahoma" w:hAnsi="Tahoma" w:cs="Tahoma"/>
        </w:rPr>
        <w:t xml:space="preserve"> 138.75.</w:t>
      </w:r>
    </w:p>
    <w:p w14:paraId="0FBECB57" w14:textId="781B3EC3" w:rsidR="00CD2056" w:rsidRDefault="00CD2056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dernière chandelle s’</w:t>
      </w:r>
      <w:r w:rsidR="0026347E">
        <w:rPr>
          <w:rFonts w:ascii="Tahoma" w:hAnsi="Tahoma" w:cs="Tahoma"/>
        </w:rPr>
        <w:t xml:space="preserve">est </w:t>
      </w:r>
      <w:r>
        <w:rPr>
          <w:rFonts w:ascii="Tahoma" w:hAnsi="Tahoma" w:cs="Tahoma"/>
        </w:rPr>
        <w:t>éloign</w:t>
      </w:r>
      <w:r w:rsidR="0026347E">
        <w:rPr>
          <w:rFonts w:ascii="Tahoma" w:hAnsi="Tahoma" w:cs="Tahoma"/>
        </w:rPr>
        <w:t>é</w:t>
      </w:r>
      <w:r>
        <w:rPr>
          <w:rFonts w:ascii="Tahoma" w:hAnsi="Tahoma" w:cs="Tahoma"/>
        </w:rPr>
        <w:t xml:space="preserve">e un peu trop de sa TS. </w:t>
      </w:r>
      <w:r w:rsidR="00E72CAA">
        <w:rPr>
          <w:rFonts w:ascii="Tahoma" w:hAnsi="Tahoma" w:cs="Tahoma"/>
        </w:rPr>
        <w:t>Ainsi l</w:t>
      </w:r>
      <w:r>
        <w:rPr>
          <w:rFonts w:ascii="Tahoma" w:hAnsi="Tahoma" w:cs="Tahoma"/>
        </w:rPr>
        <w:t xml:space="preserve">es cours devront dans un premier temps corriger </w:t>
      </w:r>
      <w:r w:rsidR="00B90E69">
        <w:rPr>
          <w:rFonts w:ascii="Tahoma" w:hAnsi="Tahoma" w:cs="Tahoma"/>
        </w:rPr>
        <w:t>légèrement</w:t>
      </w:r>
      <w:r>
        <w:rPr>
          <w:rFonts w:ascii="Tahoma" w:hAnsi="Tahoma" w:cs="Tahoma"/>
        </w:rPr>
        <w:t xml:space="preserve"> pour revenir sur la TS</w:t>
      </w:r>
      <w:r w:rsidR="00BC040F">
        <w:rPr>
          <w:rFonts w:ascii="Tahoma" w:hAnsi="Tahoma" w:cs="Tahoma"/>
        </w:rPr>
        <w:t xml:space="preserve"> avant de repartir à la hausse.</w:t>
      </w:r>
    </w:p>
    <w:p w14:paraId="07794F3C" w14:textId="06A38BE8" w:rsidR="00460DC8" w:rsidRDefault="00460DC8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forme et la taille des deux derniers chandeliers traduisent un manque de conviction au cours des échanges mais la </w:t>
      </w:r>
      <w:r w:rsidR="00B90E69">
        <w:rPr>
          <w:rFonts w:ascii="Tahoma" w:hAnsi="Tahoma" w:cs="Tahoma"/>
        </w:rPr>
        <w:t>différence</w:t>
      </w:r>
      <w:r>
        <w:rPr>
          <w:rFonts w:ascii="Tahoma" w:hAnsi="Tahoma" w:cs="Tahoma"/>
        </w:rPr>
        <w:t xml:space="preserve"> en</w:t>
      </w:r>
      <w:r w:rsidR="00E72CAA">
        <w:rPr>
          <w:rFonts w:ascii="Tahoma" w:hAnsi="Tahoma" w:cs="Tahoma"/>
        </w:rPr>
        <w:t>tre</w:t>
      </w:r>
      <w:r>
        <w:rPr>
          <w:rFonts w:ascii="Tahoma" w:hAnsi="Tahoma" w:cs="Tahoma"/>
        </w:rPr>
        <w:t xml:space="preserve"> la </w:t>
      </w:r>
      <w:r w:rsidR="00B90E69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J-1 et l’ouverture en J montre que les haussiers restent motivés </w:t>
      </w:r>
      <w:r w:rsidR="00F74DA3">
        <w:rPr>
          <w:rFonts w:ascii="Tahoma" w:hAnsi="Tahoma" w:cs="Tahoma"/>
        </w:rPr>
        <w:t>et ne devraient pas se laisser impressionner par d’éventuelles corrections.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6BC7D51" w14:textId="4EF147F0" w:rsidR="00FE5FD7" w:rsidRDefault="00B94D7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FE5FD7">
        <w:rPr>
          <w:rFonts w:ascii="Tahoma" w:hAnsi="Tahoma" w:cs="Tahoma"/>
        </w:rPr>
        <w:t xml:space="preserve"> Le contexte de long terme est pour le moment baissier mais le moyen terme nous indique que la baisse sur cette unité de temps est terminée. Une consolidation s’</w:t>
      </w:r>
      <w:r w:rsidR="00E72CAA">
        <w:rPr>
          <w:rFonts w:ascii="Tahoma" w:hAnsi="Tahoma" w:cs="Tahoma"/>
        </w:rPr>
        <w:t>est</w:t>
      </w:r>
      <w:r w:rsidR="00FE5FD7">
        <w:rPr>
          <w:rFonts w:ascii="Tahoma" w:hAnsi="Tahoma" w:cs="Tahoma"/>
        </w:rPr>
        <w:t xml:space="preserve"> mise en place entre 128.00 et 138.75.</w:t>
      </w:r>
      <w:r w:rsidR="00E72CAA">
        <w:rPr>
          <w:rFonts w:ascii="Tahoma" w:hAnsi="Tahoma" w:cs="Tahoma"/>
        </w:rPr>
        <w:t xml:space="preserve"> </w:t>
      </w:r>
      <w:r w:rsidR="001D6DBB">
        <w:rPr>
          <w:rFonts w:ascii="Tahoma" w:hAnsi="Tahoma" w:cs="Tahoma"/>
        </w:rPr>
        <w:t>La zone d’équilibre se situe sur 132.90. En dépassement de ce point, on peut envisager la borne haute de la dérive latérale. Sinon, en retour sous 132.90 la cible sera 128.00.</w:t>
      </w:r>
    </w:p>
    <w:p w14:paraId="2E975A96" w14:textId="2083034B" w:rsidR="00EE6B93" w:rsidRDefault="001D6DBB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Sur un horizon de court terme, le</w:t>
      </w:r>
      <w:r w:rsidR="00FA765B">
        <w:rPr>
          <w:rFonts w:ascii="Tahoma" w:hAnsi="Tahoma" w:cs="Tahoma"/>
        </w:rPr>
        <w:t xml:space="preserve">s acheteurs </w:t>
      </w:r>
      <w:r w:rsidR="00E72CAA">
        <w:rPr>
          <w:rFonts w:ascii="Tahoma" w:hAnsi="Tahoma" w:cs="Tahoma"/>
        </w:rPr>
        <w:t>dominent les échanges</w:t>
      </w:r>
      <w:r w:rsidR="00FA765B">
        <w:rPr>
          <w:rFonts w:ascii="Tahoma" w:hAnsi="Tahoma" w:cs="Tahoma"/>
        </w:rPr>
        <w:t xml:space="preserve">. Sur cette unité de temps le biais est positif. </w:t>
      </w:r>
      <w:r w:rsidR="00E72CAA">
        <w:rPr>
          <w:rFonts w:ascii="Tahoma" w:hAnsi="Tahoma" w:cs="Tahoma"/>
        </w:rPr>
        <w:t>C</w:t>
      </w:r>
      <w:r w:rsidR="00FA765B">
        <w:rPr>
          <w:rFonts w:ascii="Tahoma" w:hAnsi="Tahoma" w:cs="Tahoma"/>
        </w:rPr>
        <w:t xml:space="preserve">omme le contrat s’est installé </w:t>
      </w:r>
      <w:r w:rsidR="00B90E69">
        <w:rPr>
          <w:rFonts w:ascii="Tahoma" w:hAnsi="Tahoma" w:cs="Tahoma"/>
        </w:rPr>
        <w:t>au-dessus</w:t>
      </w:r>
      <w:r w:rsidR="00FA765B">
        <w:rPr>
          <w:rFonts w:ascii="Tahoma" w:hAnsi="Tahoma" w:cs="Tahoma"/>
        </w:rPr>
        <w:t xml:space="preserve"> de 132.90 on peut envisager un test des prochaines résistances</w:t>
      </w:r>
      <w:r w:rsidR="00E72CAA">
        <w:rPr>
          <w:rFonts w:ascii="Tahoma" w:hAnsi="Tahoma" w:cs="Tahoma"/>
        </w:rPr>
        <w:t>.</w:t>
      </w:r>
    </w:p>
    <w:p w14:paraId="1308FA88" w14:textId="77777777" w:rsidR="00E72CAA" w:rsidRDefault="00E72CAA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37AC3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C53DA"/>
    <w:rsid w:val="000D0FD4"/>
    <w:rsid w:val="000D4ED3"/>
    <w:rsid w:val="000F2F2E"/>
    <w:rsid w:val="000F530D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D6DBB"/>
    <w:rsid w:val="001D7496"/>
    <w:rsid w:val="001F650A"/>
    <w:rsid w:val="002003AD"/>
    <w:rsid w:val="002421FE"/>
    <w:rsid w:val="00262E25"/>
    <w:rsid w:val="0026347E"/>
    <w:rsid w:val="00263ED0"/>
    <w:rsid w:val="002A1F8E"/>
    <w:rsid w:val="002B5CB1"/>
    <w:rsid w:val="002B7CF0"/>
    <w:rsid w:val="002C0A31"/>
    <w:rsid w:val="002F54B0"/>
    <w:rsid w:val="002F7E1F"/>
    <w:rsid w:val="00303214"/>
    <w:rsid w:val="00303A6C"/>
    <w:rsid w:val="0030643B"/>
    <w:rsid w:val="00331404"/>
    <w:rsid w:val="00331840"/>
    <w:rsid w:val="00337611"/>
    <w:rsid w:val="00340FD9"/>
    <w:rsid w:val="00352DD9"/>
    <w:rsid w:val="003767E0"/>
    <w:rsid w:val="00397D3D"/>
    <w:rsid w:val="003A5FE3"/>
    <w:rsid w:val="003B6A01"/>
    <w:rsid w:val="0040171B"/>
    <w:rsid w:val="00460DC8"/>
    <w:rsid w:val="00467005"/>
    <w:rsid w:val="004960C7"/>
    <w:rsid w:val="004A2D2D"/>
    <w:rsid w:val="004A5154"/>
    <w:rsid w:val="004F48EE"/>
    <w:rsid w:val="00531928"/>
    <w:rsid w:val="005440A4"/>
    <w:rsid w:val="005466F7"/>
    <w:rsid w:val="00546A5A"/>
    <w:rsid w:val="00566580"/>
    <w:rsid w:val="00567AF3"/>
    <w:rsid w:val="005755E7"/>
    <w:rsid w:val="00583BC8"/>
    <w:rsid w:val="00597062"/>
    <w:rsid w:val="00605126"/>
    <w:rsid w:val="00654380"/>
    <w:rsid w:val="00664BE1"/>
    <w:rsid w:val="006A1C1F"/>
    <w:rsid w:val="006B055C"/>
    <w:rsid w:val="006E13EB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1F41"/>
    <w:rsid w:val="007B661D"/>
    <w:rsid w:val="007D19FF"/>
    <w:rsid w:val="007D2085"/>
    <w:rsid w:val="007D4181"/>
    <w:rsid w:val="007F0900"/>
    <w:rsid w:val="0083454A"/>
    <w:rsid w:val="00837B38"/>
    <w:rsid w:val="00896554"/>
    <w:rsid w:val="008A7407"/>
    <w:rsid w:val="008C00D1"/>
    <w:rsid w:val="008C31E0"/>
    <w:rsid w:val="008F10C2"/>
    <w:rsid w:val="00902D2F"/>
    <w:rsid w:val="00961FDF"/>
    <w:rsid w:val="00983B7D"/>
    <w:rsid w:val="009A37C2"/>
    <w:rsid w:val="009A3A11"/>
    <w:rsid w:val="009F3AB8"/>
    <w:rsid w:val="00A11606"/>
    <w:rsid w:val="00A30742"/>
    <w:rsid w:val="00A447A4"/>
    <w:rsid w:val="00A6401C"/>
    <w:rsid w:val="00A81AB7"/>
    <w:rsid w:val="00A962AB"/>
    <w:rsid w:val="00AA522C"/>
    <w:rsid w:val="00AA528D"/>
    <w:rsid w:val="00AC434E"/>
    <w:rsid w:val="00AE7F3B"/>
    <w:rsid w:val="00B009A1"/>
    <w:rsid w:val="00B12F67"/>
    <w:rsid w:val="00B34260"/>
    <w:rsid w:val="00B41C02"/>
    <w:rsid w:val="00B4335A"/>
    <w:rsid w:val="00B50E38"/>
    <w:rsid w:val="00B535E0"/>
    <w:rsid w:val="00B554B8"/>
    <w:rsid w:val="00B64EE0"/>
    <w:rsid w:val="00B90E69"/>
    <w:rsid w:val="00B94D71"/>
    <w:rsid w:val="00BA2CF9"/>
    <w:rsid w:val="00BB0E32"/>
    <w:rsid w:val="00BB6D9D"/>
    <w:rsid w:val="00BC040F"/>
    <w:rsid w:val="00BC77A5"/>
    <w:rsid w:val="00BD3FC1"/>
    <w:rsid w:val="00C07C3B"/>
    <w:rsid w:val="00C17ED7"/>
    <w:rsid w:val="00C41F15"/>
    <w:rsid w:val="00C70171"/>
    <w:rsid w:val="00C70A68"/>
    <w:rsid w:val="00C82E98"/>
    <w:rsid w:val="00CA4CBC"/>
    <w:rsid w:val="00CB17C9"/>
    <w:rsid w:val="00CC72FF"/>
    <w:rsid w:val="00CC7C21"/>
    <w:rsid w:val="00CD2056"/>
    <w:rsid w:val="00CD47EE"/>
    <w:rsid w:val="00CE0886"/>
    <w:rsid w:val="00CF2516"/>
    <w:rsid w:val="00CF6D63"/>
    <w:rsid w:val="00D14178"/>
    <w:rsid w:val="00D23B28"/>
    <w:rsid w:val="00D46C8D"/>
    <w:rsid w:val="00DA1359"/>
    <w:rsid w:val="00DE5444"/>
    <w:rsid w:val="00DF072F"/>
    <w:rsid w:val="00E32014"/>
    <w:rsid w:val="00E3727C"/>
    <w:rsid w:val="00E527AB"/>
    <w:rsid w:val="00E72CAA"/>
    <w:rsid w:val="00E82D25"/>
    <w:rsid w:val="00EB58BA"/>
    <w:rsid w:val="00EB711E"/>
    <w:rsid w:val="00EE6B93"/>
    <w:rsid w:val="00F04A6E"/>
    <w:rsid w:val="00F04DEF"/>
    <w:rsid w:val="00F31070"/>
    <w:rsid w:val="00F31570"/>
    <w:rsid w:val="00F53F10"/>
    <w:rsid w:val="00F636F8"/>
    <w:rsid w:val="00F74DA3"/>
    <w:rsid w:val="00F91AC7"/>
    <w:rsid w:val="00FA2C8E"/>
    <w:rsid w:val="00FA765B"/>
    <w:rsid w:val="00FC1860"/>
    <w:rsid w:val="00FC7EA5"/>
    <w:rsid w:val="00FE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Pages>4</Pages>
  <Words>769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145</cp:revision>
  <dcterms:created xsi:type="dcterms:W3CDTF">2021-11-25T09:44:00Z</dcterms:created>
  <dcterms:modified xsi:type="dcterms:W3CDTF">2024-09-08T08:12:00Z</dcterms:modified>
</cp:coreProperties>
</file>