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001FD87" w:rsidR="00902D2F" w:rsidRDefault="00CF06A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E0145E2" wp14:editId="52BB8FF5">
            <wp:extent cx="5760720" cy="4320540"/>
            <wp:effectExtent l="0" t="0" r="0" b="3810"/>
            <wp:docPr id="11547063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15682DA6" w14:textId="1A2C3C70" w:rsidR="00851419" w:rsidRDefault="0085141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Pas de remise en question de l’environnement haussier sur le moyen terme. Les plats de TS et de KS se poursuivent respectivement sur 4756 et 4797.</w:t>
      </w:r>
      <w:r w:rsidR="000F1019">
        <w:rPr>
          <w:rFonts w:ascii="Tahoma" w:hAnsi="Tahoma" w:cs="Tahoma"/>
        </w:rPr>
        <w:t xml:space="preserve"> Ces lignes serviront de support pour envisager le cas échéant un test de la bordure haute du nuage qui se situera pour la semaine sur 4641.</w:t>
      </w:r>
    </w:p>
    <w:p w14:paraId="4F99D506" w14:textId="22BA0C38" w:rsidR="000F1019" w:rsidRDefault="000F101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E1D76">
        <w:rPr>
          <w:rFonts w:ascii="Tahoma" w:hAnsi="Tahoma" w:cs="Tahoma"/>
        </w:rPr>
        <w:t>orsque que la SSB est plate, l</w:t>
      </w:r>
      <w:r>
        <w:rPr>
          <w:rFonts w:ascii="Tahoma" w:hAnsi="Tahoma" w:cs="Tahoma"/>
        </w:rPr>
        <w:t xml:space="preserve">a volatilité </w:t>
      </w:r>
      <w:r w:rsidR="00EE1D76">
        <w:rPr>
          <w:rFonts w:ascii="Tahoma" w:hAnsi="Tahoma" w:cs="Tahoma"/>
        </w:rPr>
        <w:t xml:space="preserve">est </w:t>
      </w:r>
      <w:r>
        <w:rPr>
          <w:rFonts w:ascii="Tahoma" w:hAnsi="Tahoma" w:cs="Tahoma"/>
        </w:rPr>
        <w:t>représenté</w:t>
      </w:r>
      <w:r w:rsidR="007035AB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la borne haute du nuage futur</w:t>
      </w:r>
      <w:r w:rsidR="00EE1D76">
        <w:rPr>
          <w:rFonts w:ascii="Tahoma" w:hAnsi="Tahoma" w:cs="Tahoma"/>
        </w:rPr>
        <w:t>. Cette dernière</w:t>
      </w:r>
      <w:r>
        <w:rPr>
          <w:rFonts w:ascii="Tahoma" w:hAnsi="Tahoma" w:cs="Tahoma"/>
        </w:rPr>
        <w:t xml:space="preserve"> s’est stabilisé</w:t>
      </w:r>
      <w:r w:rsidR="007224DE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même si elle reste sur un niveau relativement élevé.</w:t>
      </w:r>
    </w:p>
    <w:p w14:paraId="331C2F68" w14:textId="61D5D80F" w:rsidR="00EE1D76" w:rsidRDefault="0083734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longue chandelle noire (T-2) a eu pour conséquence d’assécher une bonne partie du courant vendeur</w:t>
      </w:r>
      <w:r>
        <w:rPr>
          <w:rFonts w:ascii="Tahoma" w:hAnsi="Tahoma" w:cs="Tahoma"/>
        </w:rPr>
        <w:t>. Elle explique en partie l</w:t>
      </w:r>
      <w:r w:rsidR="007035AB">
        <w:rPr>
          <w:rFonts w:ascii="Tahoma" w:hAnsi="Tahoma" w:cs="Tahoma"/>
        </w:rPr>
        <w:t xml:space="preserve">a </w:t>
      </w:r>
      <w:r w:rsidR="007224DE">
        <w:rPr>
          <w:rFonts w:ascii="Tahoma" w:hAnsi="Tahoma" w:cs="Tahoma"/>
        </w:rPr>
        <w:t xml:space="preserve">hausse de </w:t>
      </w:r>
      <w:r w:rsidR="00EE1D76">
        <w:rPr>
          <w:rFonts w:ascii="Tahoma" w:hAnsi="Tahoma" w:cs="Tahoma"/>
        </w:rPr>
        <w:t>cette dernière</w:t>
      </w:r>
      <w:r w:rsidR="007224DE">
        <w:rPr>
          <w:rFonts w:ascii="Tahoma" w:hAnsi="Tahoma" w:cs="Tahoma"/>
        </w:rPr>
        <w:t xml:space="preserve"> semaine</w:t>
      </w:r>
      <w:r w:rsidR="00EE1D76">
        <w:rPr>
          <w:rFonts w:ascii="Tahoma" w:hAnsi="Tahoma" w:cs="Tahoma"/>
        </w:rPr>
        <w:t>. elle</w:t>
      </w:r>
      <w:r w:rsidR="007224DE">
        <w:rPr>
          <w:rFonts w:ascii="Tahoma" w:hAnsi="Tahoma" w:cs="Tahoma"/>
        </w:rPr>
        <w:t xml:space="preserve"> </w:t>
      </w:r>
      <w:r w:rsidR="00EE1D76">
        <w:rPr>
          <w:rFonts w:ascii="Tahoma" w:hAnsi="Tahoma" w:cs="Tahoma"/>
        </w:rPr>
        <w:t xml:space="preserve">se </w:t>
      </w:r>
      <w:r>
        <w:rPr>
          <w:rFonts w:ascii="Tahoma" w:hAnsi="Tahoma" w:cs="Tahoma"/>
        </w:rPr>
        <w:t xml:space="preserve"> </w:t>
      </w:r>
      <w:r w:rsidR="007224DE">
        <w:rPr>
          <w:rFonts w:ascii="Tahoma" w:hAnsi="Tahoma" w:cs="Tahoma"/>
        </w:rPr>
        <w:t xml:space="preserve">s’approche de la structure de poussée. Son ouverture sur les niveaux de </w:t>
      </w:r>
      <w:r w:rsidR="00FA775D">
        <w:rPr>
          <w:rFonts w:ascii="Tahoma" w:hAnsi="Tahoma" w:cs="Tahoma"/>
        </w:rPr>
        <w:t>clôture</w:t>
      </w:r>
      <w:r w:rsidR="007224DE">
        <w:rPr>
          <w:rFonts w:ascii="Tahoma" w:hAnsi="Tahoma" w:cs="Tahoma"/>
        </w:rPr>
        <w:t xml:space="preserve"> de la semaine précédente ne lui donne pas autant de </w:t>
      </w:r>
      <w:r w:rsidR="00EE1D76">
        <w:rPr>
          <w:rFonts w:ascii="Tahoma" w:hAnsi="Tahoma" w:cs="Tahoma"/>
        </w:rPr>
        <w:t>poids</w:t>
      </w:r>
      <w:r w:rsidR="007224DE">
        <w:rPr>
          <w:rFonts w:ascii="Tahoma" w:hAnsi="Tahoma" w:cs="Tahoma"/>
        </w:rPr>
        <w:t xml:space="preserve"> qu’une formation ouvrant avec un gap baissier. Mais ces deux chandeliers </w:t>
      </w:r>
      <w:r w:rsidR="00FA775D">
        <w:rPr>
          <w:rFonts w:ascii="Tahoma" w:hAnsi="Tahoma" w:cs="Tahoma"/>
        </w:rPr>
        <w:t>tracent</w:t>
      </w:r>
      <w:r w:rsidR="007224DE">
        <w:rPr>
          <w:rFonts w:ascii="Tahoma" w:hAnsi="Tahoma" w:cs="Tahoma"/>
        </w:rPr>
        <w:t xml:space="preserve"> un support sur 4738, point </w:t>
      </w:r>
      <w:r w:rsidR="00FA775D">
        <w:rPr>
          <w:rFonts w:ascii="Tahoma" w:hAnsi="Tahoma" w:cs="Tahoma"/>
        </w:rPr>
        <w:t>au-dessus</w:t>
      </w:r>
      <w:r w:rsidR="007224DE">
        <w:rPr>
          <w:rFonts w:ascii="Tahoma" w:hAnsi="Tahoma" w:cs="Tahoma"/>
        </w:rPr>
        <w:t xml:space="preserve"> duquel les vendeurs chercheront à protéger leurs gains si les prix</w:t>
      </w:r>
      <w:r w:rsidR="00EE1D76">
        <w:rPr>
          <w:rFonts w:ascii="Tahoma" w:hAnsi="Tahoma" w:cs="Tahoma"/>
        </w:rPr>
        <w:t xml:space="preserve"> ne parviennent plus à baisser.</w:t>
      </w:r>
    </w:p>
    <w:p w14:paraId="7AC4D2D2" w14:textId="07328F5A" w:rsidR="00DF072F" w:rsidRDefault="007224D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0104EBC8" w14:textId="77777777" w:rsidR="00EE1D76" w:rsidRDefault="00EE1D76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78C53662" w:rsidR="00583BC8" w:rsidRDefault="00CF06A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C4C14BD" wp14:editId="61BBADC5">
            <wp:extent cx="5760720" cy="4320540"/>
            <wp:effectExtent l="0" t="0" r="0" b="3810"/>
            <wp:docPr id="21558641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5E94EBA3" w14:textId="54F04866" w:rsidR="00D84089" w:rsidRDefault="00D84089" w:rsidP="00D8408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court terme, le twist du nuage et le rebond des prix permet d’envisager une consolidation des prix.</w:t>
      </w:r>
      <w:r w:rsidR="00735A2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Peut-on alors envisager une forme de consolidation comprise entre 4571 (clôture du marteau du 05 août) et 4</w:t>
      </w:r>
      <w:r>
        <w:rPr>
          <w:rFonts w:ascii="Tahoma" w:hAnsi="Tahoma" w:cs="Tahoma"/>
        </w:rPr>
        <w:t>976</w:t>
      </w:r>
      <w:r>
        <w:rPr>
          <w:rFonts w:ascii="Tahoma" w:hAnsi="Tahoma" w:cs="Tahoma"/>
        </w:rPr>
        <w:t xml:space="preserve"> (hauts récents) ? La zone d’équilibre sera alors concrétisée par le plat de SSB de 4762.</w:t>
      </w:r>
    </w:p>
    <w:p w14:paraId="67B8B186" w14:textId="5D58F295" w:rsidR="00467005" w:rsidRDefault="00735A2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le dépassement récent du plat de 4762 </w:t>
      </w:r>
      <w:r w:rsidR="00EE1D76">
        <w:rPr>
          <w:rFonts w:ascii="Tahoma" w:hAnsi="Tahoma" w:cs="Tahoma"/>
        </w:rPr>
        <w:t>plaide pour</w:t>
      </w:r>
      <w:r>
        <w:rPr>
          <w:rFonts w:ascii="Tahoma" w:hAnsi="Tahoma" w:cs="Tahoma"/>
        </w:rPr>
        <w:t xml:space="preserve"> une poursuite de la hausse en direction de 4976. </w:t>
      </w:r>
    </w:p>
    <w:p w14:paraId="0E6F6357" w14:textId="439C8848" w:rsidR="003C516D" w:rsidRDefault="003C516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cette cible de 4976 trouvera sur sa route la </w:t>
      </w:r>
      <w:r w:rsidR="00FA775D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ouverte de 04 septembre entre 4912 et 4889.</w:t>
      </w:r>
      <w:r w:rsidR="00BF63B8">
        <w:rPr>
          <w:rFonts w:ascii="Tahoma" w:hAnsi="Tahoma" w:cs="Tahoma"/>
        </w:rPr>
        <w:t xml:space="preserve"> Ce sera une résistance difficile </w:t>
      </w:r>
      <w:r w:rsidR="00FA775D">
        <w:rPr>
          <w:rFonts w:ascii="Tahoma" w:hAnsi="Tahoma" w:cs="Tahoma"/>
        </w:rPr>
        <w:t>à</w:t>
      </w:r>
      <w:r w:rsidR="00BF63B8">
        <w:rPr>
          <w:rFonts w:ascii="Tahoma" w:hAnsi="Tahoma" w:cs="Tahoma"/>
        </w:rPr>
        <w:t xml:space="preserve"> passer si le marché manque de conviction. Je rappelle qu’une </w:t>
      </w:r>
      <w:r w:rsidR="00FA775D">
        <w:rPr>
          <w:rFonts w:ascii="Tahoma" w:hAnsi="Tahoma" w:cs="Tahoma"/>
        </w:rPr>
        <w:t>fenêtre</w:t>
      </w:r>
      <w:r w:rsidR="00BF63B8">
        <w:rPr>
          <w:rFonts w:ascii="Tahoma" w:hAnsi="Tahoma" w:cs="Tahoma"/>
        </w:rPr>
        <w:t xml:space="preserve"> ne peut </w:t>
      </w:r>
      <w:r w:rsidR="00FA775D">
        <w:rPr>
          <w:rFonts w:ascii="Tahoma" w:hAnsi="Tahoma" w:cs="Tahoma"/>
        </w:rPr>
        <w:t>être</w:t>
      </w:r>
      <w:r w:rsidR="00BF63B8">
        <w:rPr>
          <w:rFonts w:ascii="Tahoma" w:hAnsi="Tahoma" w:cs="Tahoma"/>
        </w:rPr>
        <w:t xml:space="preserve"> invalidée que par une </w:t>
      </w:r>
      <w:r w:rsidR="00FA775D">
        <w:rPr>
          <w:rFonts w:ascii="Tahoma" w:hAnsi="Tahoma" w:cs="Tahoma"/>
        </w:rPr>
        <w:t>clôture</w:t>
      </w:r>
      <w:r w:rsidR="00BF63B8">
        <w:rPr>
          <w:rFonts w:ascii="Tahoma" w:hAnsi="Tahoma" w:cs="Tahoma"/>
        </w:rPr>
        <w:t xml:space="preserve"> </w:t>
      </w:r>
      <w:r w:rsidR="00FF5782">
        <w:rPr>
          <w:rFonts w:ascii="Tahoma" w:hAnsi="Tahoma" w:cs="Tahoma"/>
        </w:rPr>
        <w:t>au-delà</w:t>
      </w:r>
      <w:r w:rsidR="00BF63B8">
        <w:rPr>
          <w:rFonts w:ascii="Tahoma" w:hAnsi="Tahoma" w:cs="Tahoma"/>
        </w:rPr>
        <w:t xml:space="preserve"> de son point d’ouverture c’est-à-dire 4912.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0D760301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10E34">
        <w:rPr>
          <w:rFonts w:ascii="Tahoma" w:hAnsi="Tahoma" w:cs="Tahoma"/>
        </w:rPr>
        <w:t xml:space="preserve"> Rebond positive qui devra être confirmé par un maintien des prix </w:t>
      </w:r>
      <w:r w:rsidR="00FA775D">
        <w:rPr>
          <w:rFonts w:ascii="Tahoma" w:hAnsi="Tahoma" w:cs="Tahoma"/>
        </w:rPr>
        <w:t>au-dessus</w:t>
      </w:r>
      <w:r w:rsidR="00710E34">
        <w:rPr>
          <w:rFonts w:ascii="Tahoma" w:hAnsi="Tahoma" w:cs="Tahoma"/>
        </w:rPr>
        <w:t xml:space="preserve"> de 4738. La consolidation de court terme limite le potentiel de hausse des prix. Pas de poursuite de la hausse tant que l’indice n’aura pas </w:t>
      </w:r>
      <w:r w:rsidR="00FA775D">
        <w:rPr>
          <w:rFonts w:ascii="Tahoma" w:hAnsi="Tahoma" w:cs="Tahoma"/>
        </w:rPr>
        <w:t>clôturé</w:t>
      </w:r>
      <w:r w:rsidR="00710E34">
        <w:rPr>
          <w:rFonts w:ascii="Tahoma" w:hAnsi="Tahoma" w:cs="Tahoma"/>
        </w:rPr>
        <w:t xml:space="preserve"> </w:t>
      </w:r>
      <w:r w:rsidR="00FA775D">
        <w:rPr>
          <w:rFonts w:ascii="Tahoma" w:hAnsi="Tahoma" w:cs="Tahoma"/>
        </w:rPr>
        <w:t>au-dessus</w:t>
      </w:r>
      <w:r w:rsidR="00710E34">
        <w:rPr>
          <w:rFonts w:ascii="Tahoma" w:hAnsi="Tahoma" w:cs="Tahoma"/>
        </w:rPr>
        <w:t xml:space="preserve"> de 4912.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0F1019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2F75FA"/>
    <w:rsid w:val="0030643B"/>
    <w:rsid w:val="00337611"/>
    <w:rsid w:val="00340FD9"/>
    <w:rsid w:val="00352DD9"/>
    <w:rsid w:val="003C2E49"/>
    <w:rsid w:val="003C516D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035AB"/>
    <w:rsid w:val="00710E34"/>
    <w:rsid w:val="007224DE"/>
    <w:rsid w:val="00723F77"/>
    <w:rsid w:val="00735A20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34E"/>
    <w:rsid w:val="00837B38"/>
    <w:rsid w:val="00851419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BF63B8"/>
    <w:rsid w:val="00C17ED7"/>
    <w:rsid w:val="00C41F15"/>
    <w:rsid w:val="00C70171"/>
    <w:rsid w:val="00C70A68"/>
    <w:rsid w:val="00C82E98"/>
    <w:rsid w:val="00CC7C21"/>
    <w:rsid w:val="00CE0886"/>
    <w:rsid w:val="00CF06A3"/>
    <w:rsid w:val="00CF2516"/>
    <w:rsid w:val="00CF6D63"/>
    <w:rsid w:val="00D23B28"/>
    <w:rsid w:val="00D46C8D"/>
    <w:rsid w:val="00D84089"/>
    <w:rsid w:val="00DA6DBB"/>
    <w:rsid w:val="00DE5444"/>
    <w:rsid w:val="00DF072F"/>
    <w:rsid w:val="00E32014"/>
    <w:rsid w:val="00EB58BA"/>
    <w:rsid w:val="00EE1D76"/>
    <w:rsid w:val="00F04A6E"/>
    <w:rsid w:val="00F04DEF"/>
    <w:rsid w:val="00F31070"/>
    <w:rsid w:val="00F53F10"/>
    <w:rsid w:val="00F636F8"/>
    <w:rsid w:val="00FA2C8E"/>
    <w:rsid w:val="00FA775D"/>
    <w:rsid w:val="00FC1860"/>
    <w:rsid w:val="00FC7EA5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3</Pages>
  <Words>449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2024-09-14T16:56:00Z</dcterms:modified>
</cp:coreProperties>
</file>