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758CFD43" w:rsidR="00902D2F" w:rsidRDefault="004F2A94" w:rsidP="00B41C02">
      <w:pPr>
        <w:jc w:val="both"/>
        <w:rPr>
          <w:rFonts w:ascii="Tahoma" w:hAnsi="Tahoma" w:cs="Tahoma"/>
        </w:rPr>
      </w:pPr>
      <w:r>
        <w:rPr>
          <w:noProof/>
        </w:rPr>
        <w:drawing>
          <wp:inline distT="0" distB="0" distL="0" distR="0" wp14:anchorId="4C6DFBCF" wp14:editId="37158825">
            <wp:extent cx="5760720" cy="4320540"/>
            <wp:effectExtent l="0" t="0" r="0" b="3810"/>
            <wp:docPr id="269439714"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AC4D2D2" w14:textId="7868A488" w:rsidR="00DF072F" w:rsidRDefault="004F2A94" w:rsidP="00B41C02">
      <w:pPr>
        <w:jc w:val="both"/>
        <w:rPr>
          <w:rFonts w:ascii="Tahoma" w:hAnsi="Tahoma" w:cs="Tahoma"/>
        </w:rPr>
      </w:pPr>
      <w:r>
        <w:rPr>
          <w:rFonts w:ascii="Tahoma" w:hAnsi="Tahoma" w:cs="Tahoma"/>
        </w:rPr>
        <w:t xml:space="preserve">Comme cela a </w:t>
      </w:r>
      <w:r w:rsidR="00AF5E2C">
        <w:rPr>
          <w:rFonts w:ascii="Tahoma" w:hAnsi="Tahoma" w:cs="Tahoma"/>
        </w:rPr>
        <w:t xml:space="preserve">déjà </w:t>
      </w:r>
      <w:r>
        <w:rPr>
          <w:rFonts w:ascii="Tahoma" w:hAnsi="Tahoma" w:cs="Tahoma"/>
        </w:rPr>
        <w:t>été dit, le croisement entre la SSA et la SSB indique soit une fin de tendance et un revirement de mouvement, soit l’entrée du marché dans une phase de consolidation.</w:t>
      </w:r>
    </w:p>
    <w:p w14:paraId="56BB7601" w14:textId="11743898" w:rsidR="004F2A94" w:rsidRDefault="004F2A94" w:rsidP="00B41C02">
      <w:pPr>
        <w:jc w:val="both"/>
        <w:rPr>
          <w:rFonts w:ascii="Tahoma" w:hAnsi="Tahoma" w:cs="Tahoma"/>
        </w:rPr>
      </w:pPr>
      <w:r>
        <w:rPr>
          <w:rFonts w:ascii="Tahoma" w:hAnsi="Tahoma" w:cs="Tahoma"/>
        </w:rPr>
        <w:t xml:space="preserve">Le nouveau croisement de la SSA avec la SSB se situe </w:t>
      </w:r>
      <w:r w:rsidR="006C0C0B">
        <w:rPr>
          <w:rFonts w:ascii="Tahoma" w:hAnsi="Tahoma" w:cs="Tahoma"/>
        </w:rPr>
        <w:t>quant à lui dans un</w:t>
      </w:r>
      <w:r>
        <w:rPr>
          <w:rFonts w:ascii="Tahoma" w:hAnsi="Tahoma" w:cs="Tahoma"/>
        </w:rPr>
        <w:t xml:space="preserve"> contexte </w:t>
      </w:r>
      <w:r w:rsidR="006C0C0B">
        <w:rPr>
          <w:rFonts w:ascii="Tahoma" w:hAnsi="Tahoma" w:cs="Tahoma"/>
        </w:rPr>
        <w:t>de consolidation des prix</w:t>
      </w:r>
      <w:r w:rsidR="00ED72F3">
        <w:rPr>
          <w:rFonts w:ascii="Tahoma" w:hAnsi="Tahoma" w:cs="Tahoma"/>
        </w:rPr>
        <w:t xml:space="preserve"> qui a été défini</w:t>
      </w:r>
      <w:r w:rsidR="00AF5E2C">
        <w:rPr>
          <w:rFonts w:ascii="Tahoma" w:hAnsi="Tahoma" w:cs="Tahoma"/>
        </w:rPr>
        <w:t>e</w:t>
      </w:r>
      <w:r w:rsidR="00ED72F3">
        <w:rPr>
          <w:rFonts w:ascii="Tahoma" w:hAnsi="Tahoma" w:cs="Tahoma"/>
        </w:rPr>
        <w:t xml:space="preserve"> la semaine dernière e</w:t>
      </w:r>
      <w:r w:rsidR="00ED72F3">
        <w:rPr>
          <w:rFonts w:ascii="Tahoma" w:hAnsi="Tahoma" w:cs="Tahoma"/>
        </w:rPr>
        <w:t>ntre des hauts et bas récents c’est-à-dire 128.02 et 13</w:t>
      </w:r>
      <w:r w:rsidR="004B3A78">
        <w:rPr>
          <w:rFonts w:ascii="Tahoma" w:hAnsi="Tahoma" w:cs="Tahoma"/>
        </w:rPr>
        <w:t>7.64 (coquille sur la précédente analyse qui notait 138.74)</w:t>
      </w:r>
      <w:r w:rsidR="00AF5E2C">
        <w:rPr>
          <w:rFonts w:ascii="Tahoma" w:hAnsi="Tahoma" w:cs="Tahoma"/>
        </w:rPr>
        <w:t xml:space="preserve"> </w:t>
      </w:r>
      <w:r w:rsidR="00ED72F3">
        <w:rPr>
          <w:rFonts w:ascii="Tahoma" w:hAnsi="Tahoma" w:cs="Tahoma"/>
        </w:rPr>
        <w:t xml:space="preserve">et une </w:t>
      </w:r>
      <w:r w:rsidR="00ED72F3">
        <w:rPr>
          <w:rFonts w:ascii="Tahoma" w:hAnsi="Tahoma" w:cs="Tahoma"/>
        </w:rPr>
        <w:t xml:space="preserve">zone d’équilibre </w:t>
      </w:r>
      <w:r w:rsidR="00ED72F3">
        <w:rPr>
          <w:rFonts w:ascii="Tahoma" w:hAnsi="Tahoma" w:cs="Tahoma"/>
        </w:rPr>
        <w:t>située</w:t>
      </w:r>
      <w:r w:rsidR="00ED72F3">
        <w:rPr>
          <w:rFonts w:ascii="Tahoma" w:hAnsi="Tahoma" w:cs="Tahoma"/>
        </w:rPr>
        <w:t xml:space="preserve"> sur 132.90.</w:t>
      </w:r>
    </w:p>
    <w:p w14:paraId="6726CDDA" w14:textId="072835E6" w:rsidR="004D0A29" w:rsidRDefault="004D0A29" w:rsidP="00B41C02">
      <w:pPr>
        <w:jc w:val="both"/>
        <w:rPr>
          <w:rFonts w:ascii="Tahoma" w:hAnsi="Tahoma" w:cs="Tahoma"/>
        </w:rPr>
      </w:pPr>
      <w:r>
        <w:rPr>
          <w:rFonts w:ascii="Tahoma" w:hAnsi="Tahoma" w:cs="Tahoma"/>
        </w:rPr>
        <w:t xml:space="preserve">Le dépassement de la zone médiane de 132.90 milite pour une orientation des prix en direction de la borne haute. Cela signifiera que tout maintien du contrat </w:t>
      </w:r>
      <w:r w:rsidR="005D78AA">
        <w:rPr>
          <w:rFonts w:ascii="Tahoma" w:hAnsi="Tahoma" w:cs="Tahoma"/>
        </w:rPr>
        <w:t>au-dessus</w:t>
      </w:r>
      <w:r>
        <w:rPr>
          <w:rFonts w:ascii="Tahoma" w:hAnsi="Tahoma" w:cs="Tahoma"/>
        </w:rPr>
        <w:t xml:space="preserve"> </w:t>
      </w:r>
      <w:r w:rsidR="00172FC9">
        <w:rPr>
          <w:rFonts w:ascii="Tahoma" w:hAnsi="Tahoma" w:cs="Tahoma"/>
        </w:rPr>
        <w:t>du point</w:t>
      </w:r>
      <w:r>
        <w:rPr>
          <w:rFonts w:ascii="Tahoma" w:hAnsi="Tahoma" w:cs="Tahoma"/>
        </w:rPr>
        <w:t xml:space="preserve"> d’équilibre de 132.90 avantagera la hausse du contrat </w:t>
      </w:r>
      <w:r w:rsidR="00877EF4">
        <w:rPr>
          <w:rFonts w:ascii="Tahoma" w:hAnsi="Tahoma" w:cs="Tahoma"/>
        </w:rPr>
        <w:t xml:space="preserve">dans un premier temps </w:t>
      </w:r>
      <w:r>
        <w:rPr>
          <w:rFonts w:ascii="Tahoma" w:hAnsi="Tahoma" w:cs="Tahoma"/>
        </w:rPr>
        <w:t xml:space="preserve">sur </w:t>
      </w:r>
      <w:r w:rsidR="00EF2332">
        <w:rPr>
          <w:rFonts w:ascii="Tahoma" w:hAnsi="Tahoma" w:cs="Tahoma"/>
        </w:rPr>
        <w:t>137.64</w:t>
      </w:r>
      <w:r>
        <w:rPr>
          <w:rFonts w:ascii="Tahoma" w:hAnsi="Tahoma" w:cs="Tahoma"/>
        </w:rPr>
        <w:t>.</w:t>
      </w:r>
      <w:r w:rsidR="00877EF4">
        <w:rPr>
          <w:rFonts w:ascii="Tahoma" w:hAnsi="Tahoma" w:cs="Tahoma"/>
        </w:rPr>
        <w:t xml:space="preserve"> </w:t>
      </w:r>
    </w:p>
    <w:p w14:paraId="33C685F5" w14:textId="348A576C" w:rsidR="002A1FD8" w:rsidRDefault="00D375F0" w:rsidP="00B41C02">
      <w:pPr>
        <w:jc w:val="both"/>
        <w:rPr>
          <w:rFonts w:ascii="Tahoma" w:hAnsi="Tahoma" w:cs="Tahoma"/>
        </w:rPr>
      </w:pPr>
      <w:r>
        <w:rPr>
          <w:rFonts w:ascii="Tahoma" w:hAnsi="Tahoma" w:cs="Tahoma"/>
        </w:rPr>
        <w:t xml:space="preserve">L’analyse en chandeliers est positive. Les deux dernières bougies sont blanches et ont pris naissance sur la zone d’équilibre de 132.90. En fusionnant ces deux derniers chandeliers, nous avons une configuration graphique qui s’apparente à une structure de poursuite de tendance </w:t>
      </w:r>
      <w:r w:rsidR="00AE05F8">
        <w:rPr>
          <w:rFonts w:ascii="Tahoma" w:hAnsi="Tahoma" w:cs="Tahoma"/>
        </w:rPr>
        <w:t xml:space="preserve">favorable à un test de la résistance de long terme de 136.46. Mais pour envisager cette cible le contrat Bund devra dans un premier temps s’affranchir du précédent haut de </w:t>
      </w:r>
      <w:r w:rsidR="00CE6AC9">
        <w:rPr>
          <w:rFonts w:ascii="Tahoma" w:hAnsi="Tahoma" w:cs="Tahoma"/>
        </w:rPr>
        <w:t>135.65.</w:t>
      </w:r>
    </w:p>
    <w:p w14:paraId="6D338935" w14:textId="7A6D7020" w:rsidR="00EF2332" w:rsidRDefault="00EF2332"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lastRenderedPageBreak/>
        <w:t>DAY</w:t>
      </w:r>
    </w:p>
    <w:p w14:paraId="1675B8DF" w14:textId="685EC715" w:rsidR="00583BC8" w:rsidRDefault="00790D37" w:rsidP="00B41C02">
      <w:pPr>
        <w:jc w:val="both"/>
        <w:rPr>
          <w:rFonts w:ascii="Tahoma" w:hAnsi="Tahoma" w:cs="Tahoma"/>
        </w:rPr>
      </w:pPr>
      <w:r>
        <w:rPr>
          <w:noProof/>
        </w:rPr>
        <w:drawing>
          <wp:inline distT="0" distB="0" distL="0" distR="0" wp14:anchorId="56614E73" wp14:editId="7711D4DB">
            <wp:extent cx="5760720" cy="4320540"/>
            <wp:effectExtent l="0" t="0" r="0" b="3810"/>
            <wp:docPr id="46453073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10BA38C" w14:textId="73477E3E" w:rsidR="00163C46" w:rsidRDefault="00163C46" w:rsidP="00263ED0">
      <w:pPr>
        <w:jc w:val="both"/>
        <w:rPr>
          <w:rFonts w:ascii="Tahoma" w:hAnsi="Tahoma" w:cs="Tahoma"/>
        </w:rPr>
      </w:pPr>
    </w:p>
    <w:p w14:paraId="67B8B186" w14:textId="359DC663" w:rsidR="00467005" w:rsidRDefault="00F92A30" w:rsidP="00041E45">
      <w:pPr>
        <w:jc w:val="both"/>
        <w:rPr>
          <w:rFonts w:ascii="Tahoma" w:hAnsi="Tahoma" w:cs="Tahoma"/>
        </w:rPr>
      </w:pPr>
      <w:r>
        <w:rPr>
          <w:rFonts w:ascii="Tahoma" w:hAnsi="Tahoma" w:cs="Tahoma"/>
        </w:rPr>
        <w:t>Le contexte positif sur le court terme permet d’envisager le test de la partie haute de la dérive latérale de moyen terme.</w:t>
      </w:r>
    </w:p>
    <w:p w14:paraId="7468E827" w14:textId="64664838" w:rsidR="00A90E75" w:rsidRDefault="00F92A30" w:rsidP="00041E45">
      <w:pPr>
        <w:jc w:val="both"/>
        <w:rPr>
          <w:rFonts w:ascii="Tahoma" w:hAnsi="Tahoma" w:cs="Tahoma"/>
        </w:rPr>
      </w:pPr>
      <w:r>
        <w:rPr>
          <w:rFonts w:ascii="Tahoma" w:hAnsi="Tahoma" w:cs="Tahoma"/>
        </w:rPr>
        <w:t>A l’approche du sommet du 135.67, la dynamique des prix marque une pause. L’avalement baissier en J-2 n’a pas été confirmé par la séance suivante</w:t>
      </w:r>
      <w:r w:rsidR="00172FC9">
        <w:rPr>
          <w:rFonts w:ascii="Tahoma" w:hAnsi="Tahoma" w:cs="Tahoma"/>
        </w:rPr>
        <w:t>, celle</w:t>
      </w:r>
      <w:r>
        <w:rPr>
          <w:rFonts w:ascii="Tahoma" w:hAnsi="Tahoma" w:cs="Tahoma"/>
        </w:rPr>
        <w:t xml:space="preserve"> de vendredi (J-1). Le plat de TS et de KS </w:t>
      </w:r>
      <w:r w:rsidR="005D78AA">
        <w:rPr>
          <w:rFonts w:ascii="Tahoma" w:hAnsi="Tahoma" w:cs="Tahoma"/>
        </w:rPr>
        <w:t>concrétise</w:t>
      </w:r>
      <w:r w:rsidR="00376B68">
        <w:rPr>
          <w:rFonts w:ascii="Tahoma" w:hAnsi="Tahoma" w:cs="Tahoma"/>
        </w:rPr>
        <w:t xml:space="preserve"> </w:t>
      </w:r>
      <w:r w:rsidR="00172FC9">
        <w:rPr>
          <w:rFonts w:ascii="Tahoma" w:hAnsi="Tahoma" w:cs="Tahoma"/>
        </w:rPr>
        <w:t>l’</w:t>
      </w:r>
      <w:r w:rsidR="00376B68">
        <w:rPr>
          <w:rFonts w:ascii="Tahoma" w:hAnsi="Tahoma" w:cs="Tahoma"/>
        </w:rPr>
        <w:t xml:space="preserve">absence de dynamique et </w:t>
      </w:r>
      <w:r w:rsidR="00A90E75">
        <w:rPr>
          <w:rFonts w:ascii="Tahoma" w:hAnsi="Tahoma" w:cs="Tahoma"/>
        </w:rPr>
        <w:t>expliquent la formation de chandelles baissières.</w:t>
      </w:r>
    </w:p>
    <w:p w14:paraId="5D376589" w14:textId="0B4B4162" w:rsidR="00F92A30" w:rsidRDefault="00A90E75" w:rsidP="00041E45">
      <w:pPr>
        <w:jc w:val="both"/>
        <w:rPr>
          <w:rFonts w:ascii="Tahoma" w:hAnsi="Tahoma" w:cs="Tahoma"/>
        </w:rPr>
      </w:pPr>
      <w:r>
        <w:rPr>
          <w:rFonts w:ascii="Tahoma" w:hAnsi="Tahoma" w:cs="Tahoma"/>
        </w:rPr>
        <w:t xml:space="preserve">Quoi qu’il en soit, </w:t>
      </w:r>
      <w:r>
        <w:rPr>
          <w:rFonts w:ascii="Tahoma" w:hAnsi="Tahoma" w:cs="Tahoma"/>
        </w:rPr>
        <w:t>dans un marché sans direction forte</w:t>
      </w:r>
      <w:r>
        <w:rPr>
          <w:rFonts w:ascii="Tahoma" w:hAnsi="Tahoma" w:cs="Tahoma"/>
        </w:rPr>
        <w:t xml:space="preserve">, une correction des prix peut </w:t>
      </w:r>
      <w:r w:rsidR="00172FC9">
        <w:rPr>
          <w:rFonts w:ascii="Tahoma" w:hAnsi="Tahoma" w:cs="Tahoma"/>
        </w:rPr>
        <w:t>plus facilement se développer</w:t>
      </w:r>
      <w:r>
        <w:rPr>
          <w:rFonts w:ascii="Tahoma" w:hAnsi="Tahoma" w:cs="Tahoma"/>
        </w:rPr>
        <w:t xml:space="preserve">. Le plat de KS sur 134.02 sera </w:t>
      </w:r>
      <w:r w:rsidR="00172FC9">
        <w:rPr>
          <w:rFonts w:ascii="Tahoma" w:hAnsi="Tahoma" w:cs="Tahoma"/>
        </w:rPr>
        <w:t>dans notre cas</w:t>
      </w:r>
      <w:r>
        <w:rPr>
          <w:rFonts w:ascii="Tahoma" w:hAnsi="Tahoma" w:cs="Tahoma"/>
        </w:rPr>
        <w:t xml:space="preserve"> un bon support. </w:t>
      </w:r>
    </w:p>
    <w:p w14:paraId="10BB9766" w14:textId="77777777" w:rsidR="00723F77" w:rsidRDefault="00723F77" w:rsidP="00041E45">
      <w:pPr>
        <w:jc w:val="both"/>
        <w:rPr>
          <w:rFonts w:ascii="Tahoma" w:hAnsi="Tahoma" w:cs="Tahoma"/>
        </w:rPr>
      </w:pPr>
    </w:p>
    <w:p w14:paraId="258EB8FF" w14:textId="696E1884"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1C1970">
        <w:rPr>
          <w:rFonts w:ascii="Tahoma" w:hAnsi="Tahoma" w:cs="Tahoma"/>
        </w:rPr>
        <w:t xml:space="preserve"> Poursuite de la consolidation de moyen terme avec pour cible </w:t>
      </w:r>
      <w:r w:rsidR="00C75E53">
        <w:rPr>
          <w:rFonts w:ascii="Tahoma" w:hAnsi="Tahoma" w:cs="Tahoma"/>
        </w:rPr>
        <w:t xml:space="preserve">137.64. Auparavant une résistance </w:t>
      </w:r>
      <w:r w:rsidR="005D78AA">
        <w:rPr>
          <w:rFonts w:ascii="Tahoma" w:hAnsi="Tahoma" w:cs="Tahoma"/>
        </w:rPr>
        <w:t>intermédiaire</w:t>
      </w:r>
      <w:r w:rsidR="00C75E53">
        <w:rPr>
          <w:rFonts w:ascii="Tahoma" w:hAnsi="Tahoma" w:cs="Tahoma"/>
        </w:rPr>
        <w:t xml:space="preserve"> </w:t>
      </w:r>
      <w:r w:rsidR="00CC1778">
        <w:rPr>
          <w:rFonts w:ascii="Tahoma" w:hAnsi="Tahoma" w:cs="Tahoma"/>
        </w:rPr>
        <w:t xml:space="preserve">de court terme </w:t>
      </w:r>
      <w:r w:rsidR="00C75E53">
        <w:rPr>
          <w:rFonts w:ascii="Tahoma" w:hAnsi="Tahoma" w:cs="Tahoma"/>
        </w:rPr>
        <w:t xml:space="preserve">sur 135.67 devra </w:t>
      </w:r>
      <w:r w:rsidR="005D78AA">
        <w:rPr>
          <w:rFonts w:ascii="Tahoma" w:hAnsi="Tahoma" w:cs="Tahoma"/>
        </w:rPr>
        <w:t>être</w:t>
      </w:r>
      <w:r w:rsidR="00C75E53">
        <w:rPr>
          <w:rFonts w:ascii="Tahoma" w:hAnsi="Tahoma" w:cs="Tahoma"/>
        </w:rPr>
        <w:t xml:space="preserve"> franchie pour donner de l’espace au marché. </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72FC9"/>
    <w:rsid w:val="00190995"/>
    <w:rsid w:val="001A4796"/>
    <w:rsid w:val="001C1970"/>
    <w:rsid w:val="001D474B"/>
    <w:rsid w:val="001F650A"/>
    <w:rsid w:val="002003AD"/>
    <w:rsid w:val="002421FE"/>
    <w:rsid w:val="00262E25"/>
    <w:rsid w:val="00263ED0"/>
    <w:rsid w:val="002A1F8E"/>
    <w:rsid w:val="002A1FD8"/>
    <w:rsid w:val="002B5CB1"/>
    <w:rsid w:val="002C0A31"/>
    <w:rsid w:val="002F54B0"/>
    <w:rsid w:val="00303214"/>
    <w:rsid w:val="0030643B"/>
    <w:rsid w:val="00337611"/>
    <w:rsid w:val="00340FD9"/>
    <w:rsid w:val="00352DD9"/>
    <w:rsid w:val="003767E0"/>
    <w:rsid w:val="00376B68"/>
    <w:rsid w:val="00397D3D"/>
    <w:rsid w:val="0040171B"/>
    <w:rsid w:val="00467005"/>
    <w:rsid w:val="004A2D2D"/>
    <w:rsid w:val="004A5154"/>
    <w:rsid w:val="004B3A78"/>
    <w:rsid w:val="004D0A29"/>
    <w:rsid w:val="004F2A94"/>
    <w:rsid w:val="004F48EE"/>
    <w:rsid w:val="00531928"/>
    <w:rsid w:val="005440A4"/>
    <w:rsid w:val="00546A5A"/>
    <w:rsid w:val="00566580"/>
    <w:rsid w:val="00567AF3"/>
    <w:rsid w:val="00583BC8"/>
    <w:rsid w:val="005D78AA"/>
    <w:rsid w:val="00654380"/>
    <w:rsid w:val="00664BE1"/>
    <w:rsid w:val="006B055C"/>
    <w:rsid w:val="006C0C0B"/>
    <w:rsid w:val="006E32BB"/>
    <w:rsid w:val="006E38E0"/>
    <w:rsid w:val="00710599"/>
    <w:rsid w:val="00723F77"/>
    <w:rsid w:val="00744696"/>
    <w:rsid w:val="00764AC3"/>
    <w:rsid w:val="00772067"/>
    <w:rsid w:val="0077545D"/>
    <w:rsid w:val="00790D37"/>
    <w:rsid w:val="007A0A4B"/>
    <w:rsid w:val="007A0E6C"/>
    <w:rsid w:val="007B1237"/>
    <w:rsid w:val="007B661D"/>
    <w:rsid w:val="007D19FF"/>
    <w:rsid w:val="007D2085"/>
    <w:rsid w:val="007D4181"/>
    <w:rsid w:val="0083454A"/>
    <w:rsid w:val="00837B38"/>
    <w:rsid w:val="00877EF4"/>
    <w:rsid w:val="00896554"/>
    <w:rsid w:val="008A7407"/>
    <w:rsid w:val="008F10C2"/>
    <w:rsid w:val="00902D2F"/>
    <w:rsid w:val="00961FDF"/>
    <w:rsid w:val="00983B7D"/>
    <w:rsid w:val="009A37C2"/>
    <w:rsid w:val="009F3AB8"/>
    <w:rsid w:val="00A11606"/>
    <w:rsid w:val="00A6401C"/>
    <w:rsid w:val="00A81AB7"/>
    <w:rsid w:val="00A90E75"/>
    <w:rsid w:val="00AA522C"/>
    <w:rsid w:val="00AE05F8"/>
    <w:rsid w:val="00AE7F3B"/>
    <w:rsid w:val="00AF5E2C"/>
    <w:rsid w:val="00B34260"/>
    <w:rsid w:val="00B41C02"/>
    <w:rsid w:val="00B4335A"/>
    <w:rsid w:val="00B50E38"/>
    <w:rsid w:val="00B554B8"/>
    <w:rsid w:val="00B64EE0"/>
    <w:rsid w:val="00B94D71"/>
    <w:rsid w:val="00BB0E32"/>
    <w:rsid w:val="00BB6D9D"/>
    <w:rsid w:val="00BC77A5"/>
    <w:rsid w:val="00BD3FC1"/>
    <w:rsid w:val="00C17ED7"/>
    <w:rsid w:val="00C41F15"/>
    <w:rsid w:val="00C70171"/>
    <w:rsid w:val="00C70A68"/>
    <w:rsid w:val="00C75E53"/>
    <w:rsid w:val="00C82E98"/>
    <w:rsid w:val="00CB17C9"/>
    <w:rsid w:val="00CC1778"/>
    <w:rsid w:val="00CC72FF"/>
    <w:rsid w:val="00CC7C21"/>
    <w:rsid w:val="00CE0886"/>
    <w:rsid w:val="00CE6AC9"/>
    <w:rsid w:val="00CF2516"/>
    <w:rsid w:val="00CF6D63"/>
    <w:rsid w:val="00D23B28"/>
    <w:rsid w:val="00D375F0"/>
    <w:rsid w:val="00D46C8D"/>
    <w:rsid w:val="00DA1359"/>
    <w:rsid w:val="00DE5444"/>
    <w:rsid w:val="00DF072F"/>
    <w:rsid w:val="00E32014"/>
    <w:rsid w:val="00E3727C"/>
    <w:rsid w:val="00EB58BA"/>
    <w:rsid w:val="00ED72F3"/>
    <w:rsid w:val="00EE6B93"/>
    <w:rsid w:val="00EF2332"/>
    <w:rsid w:val="00F04A6E"/>
    <w:rsid w:val="00F04DEF"/>
    <w:rsid w:val="00F31070"/>
    <w:rsid w:val="00F53F10"/>
    <w:rsid w:val="00F636F8"/>
    <w:rsid w:val="00F92A30"/>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860</TotalTime>
  <Pages>3</Pages>
  <Words>452</Words>
  <Characters>2491</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117</cp:revision>
  <dcterms:created xsi:type="dcterms:W3CDTF">2021-11-25T09:44:00Z</dcterms:created>
  <dcterms:modified xsi:type="dcterms:W3CDTF">2024-09-14T16:50:00Z</dcterms:modified>
</cp:coreProperties>
</file>