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4B4D2C5D" w:rsidR="00902D2F" w:rsidRDefault="00CD5254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4915A06D" wp14:editId="2159E8F4">
            <wp:extent cx="5760720" cy="4320540"/>
            <wp:effectExtent l="0" t="0" r="0" b="3810"/>
            <wp:docPr id="212507347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432132FA" w14:textId="11773583" w:rsidR="0019713C" w:rsidRDefault="00BB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19713C">
        <w:rPr>
          <w:rFonts w:ascii="Tahoma" w:hAnsi="Tahoma" w:cs="Tahoma"/>
        </w:rPr>
        <w:t xml:space="preserve">Le contrat Bund évolue au sein d’une dérive </w:t>
      </w:r>
      <w:r w:rsidR="00BD10A8">
        <w:rPr>
          <w:rFonts w:ascii="Tahoma" w:hAnsi="Tahoma" w:cs="Tahoma"/>
        </w:rPr>
        <w:t>latérale</w:t>
      </w:r>
      <w:r w:rsidR="0019713C">
        <w:rPr>
          <w:rFonts w:ascii="Tahoma" w:hAnsi="Tahoma" w:cs="Tahoma"/>
        </w:rPr>
        <w:t xml:space="preserve"> horizontale comprise entre</w:t>
      </w:r>
      <w:r w:rsidR="0019713C">
        <w:rPr>
          <w:rFonts w:ascii="Tahoma" w:hAnsi="Tahoma" w:cs="Tahoma"/>
        </w:rPr>
        <w:t xml:space="preserve"> 128.02 et 137.64 avec un point d’équilibre située sur 132.90</w:t>
      </w:r>
      <w:r w:rsidR="0019713C">
        <w:rPr>
          <w:rFonts w:ascii="Tahoma" w:hAnsi="Tahoma" w:cs="Tahoma"/>
        </w:rPr>
        <w:t>.</w:t>
      </w:r>
    </w:p>
    <w:p w14:paraId="7AC4D2D2" w14:textId="095A634C" w:rsidR="00DF072F" w:rsidRDefault="004D3B58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Comme cela a été précis</w:t>
      </w:r>
      <w:r w:rsidR="005853F8">
        <w:rPr>
          <w:rFonts w:ascii="Tahoma" w:hAnsi="Tahoma" w:cs="Tahoma"/>
        </w:rPr>
        <w:t>é</w:t>
      </w:r>
      <w:r>
        <w:rPr>
          <w:rFonts w:ascii="Tahoma" w:hAnsi="Tahoma" w:cs="Tahoma"/>
        </w:rPr>
        <w:t xml:space="preserve"> lors des dernières observations, les lignes Ichimoku n’ont plus l’importance qu’elles peuvent avoir dans un marché en tendance. Ici l</w:t>
      </w:r>
      <w:r w:rsidR="00A35CAC">
        <w:rPr>
          <w:rFonts w:ascii="Tahoma" w:hAnsi="Tahoma" w:cs="Tahoma"/>
        </w:rPr>
        <w:t>e</w:t>
      </w:r>
      <w:r>
        <w:rPr>
          <w:rFonts w:ascii="Tahoma" w:hAnsi="Tahoma" w:cs="Tahoma"/>
        </w:rPr>
        <w:t xml:space="preserve"> plus </w:t>
      </w:r>
      <w:r w:rsidR="00E22B5A" w:rsidRPr="00A35CAC">
        <w:rPr>
          <w:rFonts w:ascii="Tahoma" w:hAnsi="Tahoma" w:cs="Tahoma"/>
        </w:rPr>
        <w:t>important</w:t>
      </w:r>
      <w:r w:rsidR="00E22B5A">
        <w:rPr>
          <w:rFonts w:ascii="Tahoma" w:hAnsi="Tahoma" w:cs="Tahoma"/>
        </w:rPr>
        <w:t xml:space="preserve"> sera le </w:t>
      </w:r>
      <w:r w:rsidR="00BD10A8">
        <w:rPr>
          <w:rFonts w:ascii="Tahoma" w:hAnsi="Tahoma" w:cs="Tahoma"/>
        </w:rPr>
        <w:t>positionnement</w:t>
      </w:r>
      <w:r w:rsidR="00E22B5A">
        <w:rPr>
          <w:rFonts w:ascii="Tahoma" w:hAnsi="Tahoma" w:cs="Tahoma"/>
        </w:rPr>
        <w:t xml:space="preserve"> des prix par rapport au point d’</w:t>
      </w:r>
      <w:r w:rsidR="00BD10A8">
        <w:rPr>
          <w:rFonts w:ascii="Tahoma" w:hAnsi="Tahoma" w:cs="Tahoma"/>
        </w:rPr>
        <w:t>équilibre</w:t>
      </w:r>
      <w:r w:rsidR="00E22B5A">
        <w:rPr>
          <w:rFonts w:ascii="Tahoma" w:hAnsi="Tahoma" w:cs="Tahoma"/>
        </w:rPr>
        <w:t xml:space="preserve"> de 132.90.</w:t>
      </w:r>
      <w:r w:rsidR="0019713C">
        <w:rPr>
          <w:rFonts w:ascii="Tahoma" w:hAnsi="Tahoma" w:cs="Tahoma"/>
        </w:rPr>
        <w:t xml:space="preserve"> </w:t>
      </w:r>
    </w:p>
    <w:p w14:paraId="374D1F17" w14:textId="2D95AE5A" w:rsidR="00583BC8" w:rsidRDefault="005853F8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Ainsi la </w:t>
      </w:r>
      <w:r w:rsidR="00BD10A8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hebdomadaire sur 134.81 place le contrat dans un environnement positif où la probabilité de voir un retour </w:t>
      </w:r>
      <w:r w:rsidR="00B66C3C">
        <w:rPr>
          <w:rFonts w:ascii="Tahoma" w:hAnsi="Tahoma" w:cs="Tahoma"/>
        </w:rPr>
        <w:t xml:space="preserve">des prix </w:t>
      </w:r>
      <w:r>
        <w:rPr>
          <w:rFonts w:ascii="Tahoma" w:hAnsi="Tahoma" w:cs="Tahoma"/>
        </w:rPr>
        <w:t>sur 137.64 sera supérieure à une baisse</w:t>
      </w:r>
      <w:r w:rsidR="00B66C3C">
        <w:rPr>
          <w:rFonts w:ascii="Tahoma" w:hAnsi="Tahoma" w:cs="Tahoma"/>
        </w:rPr>
        <w:t xml:space="preserve"> des cours</w:t>
      </w:r>
      <w:r>
        <w:rPr>
          <w:rFonts w:ascii="Tahoma" w:hAnsi="Tahoma" w:cs="Tahoma"/>
        </w:rPr>
        <w:t xml:space="preserve"> sur 128.02.</w:t>
      </w:r>
    </w:p>
    <w:p w14:paraId="5F7FD77F" w14:textId="30D1271B" w:rsidR="00C54981" w:rsidRDefault="00C54981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Pour autant, les chandelles montrent de l’</w:t>
      </w:r>
      <w:r w:rsidR="00BD10A8">
        <w:rPr>
          <w:rFonts w:ascii="Tahoma" w:hAnsi="Tahoma" w:cs="Tahoma"/>
        </w:rPr>
        <w:t>indécision</w:t>
      </w:r>
      <w:r>
        <w:rPr>
          <w:rFonts w:ascii="Tahoma" w:hAnsi="Tahoma" w:cs="Tahoma"/>
        </w:rPr>
        <w:t xml:space="preserve">. L’alternance entre bougies blanches et noires indique l’absence de conviction directionnelle. Cette situation limite le potentiel de hausse </w:t>
      </w:r>
      <w:r w:rsidR="00B66C3C">
        <w:rPr>
          <w:rFonts w:ascii="Tahoma" w:hAnsi="Tahoma" w:cs="Tahoma"/>
        </w:rPr>
        <w:t>du contrat</w:t>
      </w:r>
      <w:r>
        <w:rPr>
          <w:rFonts w:ascii="Tahoma" w:hAnsi="Tahoma" w:cs="Tahoma"/>
        </w:rPr>
        <w:t xml:space="preserve"> à la borne haute de la consolidation. Cette cible technique ne pourra </w:t>
      </w:r>
      <w:r w:rsidR="00BD10A8">
        <w:rPr>
          <w:rFonts w:ascii="Tahoma" w:hAnsi="Tahoma" w:cs="Tahoma"/>
        </w:rPr>
        <w:t>être</w:t>
      </w:r>
      <w:r>
        <w:rPr>
          <w:rFonts w:ascii="Tahoma" w:hAnsi="Tahoma" w:cs="Tahoma"/>
        </w:rPr>
        <w:t xml:space="preserve"> envisagée qu’après le dépassement de </w:t>
      </w:r>
      <w:r w:rsidR="009235B9">
        <w:rPr>
          <w:rFonts w:ascii="Tahoma" w:hAnsi="Tahoma" w:cs="Tahoma"/>
        </w:rPr>
        <w:t>135.67.</w:t>
      </w:r>
    </w:p>
    <w:p w14:paraId="6DB4A50B" w14:textId="77777777" w:rsidR="005853F8" w:rsidRDefault="005853F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3D673723" w:rsidR="00583BC8" w:rsidRDefault="00B20354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330EB523" wp14:editId="5766CB4E">
            <wp:extent cx="5760720" cy="4320540"/>
            <wp:effectExtent l="0" t="0" r="0" b="3810"/>
            <wp:docPr id="601671766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73477E3E" w:rsidR="00163C46" w:rsidRDefault="00163C46" w:rsidP="00263ED0">
      <w:pPr>
        <w:jc w:val="both"/>
        <w:rPr>
          <w:rFonts w:ascii="Tahoma" w:hAnsi="Tahoma" w:cs="Tahoma"/>
        </w:rPr>
      </w:pPr>
    </w:p>
    <w:p w14:paraId="67B8B186" w14:textId="6F3939C0" w:rsidR="00467005" w:rsidRDefault="004A2D2D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</w:t>
      </w:r>
      <w:r w:rsidR="00BC54EC">
        <w:rPr>
          <w:rFonts w:ascii="Tahoma" w:hAnsi="Tahoma" w:cs="Tahoma"/>
        </w:rPr>
        <w:t xml:space="preserve">ur cette unité de temps, l’environnement reste favorable à la poursuite de la hausse. Le nuage est orienté vers le haut et la LS a trouvé la </w:t>
      </w:r>
      <w:r w:rsidR="00BD10A8">
        <w:rPr>
          <w:rFonts w:ascii="Tahoma" w:hAnsi="Tahoma" w:cs="Tahoma"/>
        </w:rPr>
        <w:t>barrière</w:t>
      </w:r>
      <w:r w:rsidR="00BC54EC">
        <w:rPr>
          <w:rFonts w:ascii="Tahoma" w:hAnsi="Tahoma" w:cs="Tahoma"/>
        </w:rPr>
        <w:t xml:space="preserve"> des prix</w:t>
      </w:r>
      <w:r w:rsidR="00F35397">
        <w:rPr>
          <w:rFonts w:ascii="Tahoma" w:hAnsi="Tahoma" w:cs="Tahoma"/>
        </w:rPr>
        <w:t xml:space="preserve"> comme </w:t>
      </w:r>
      <w:r w:rsidR="00F35397">
        <w:rPr>
          <w:rFonts w:ascii="Tahoma" w:hAnsi="Tahoma" w:cs="Tahoma"/>
        </w:rPr>
        <w:t>planché</w:t>
      </w:r>
      <w:r w:rsidR="00BC54EC">
        <w:rPr>
          <w:rFonts w:ascii="Tahoma" w:hAnsi="Tahoma" w:cs="Tahoma"/>
        </w:rPr>
        <w:t>.</w:t>
      </w:r>
    </w:p>
    <w:p w14:paraId="6EB11760" w14:textId="6B2D9802" w:rsidR="00BC54EC" w:rsidRDefault="00BC54EC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De plus le plat de KS de 134.02</w:t>
      </w:r>
      <w:r w:rsidR="008E6465">
        <w:rPr>
          <w:rFonts w:ascii="Tahoma" w:hAnsi="Tahoma" w:cs="Tahoma"/>
        </w:rPr>
        <w:t xml:space="preserve"> se prolongera un certain temps. </w:t>
      </w:r>
      <w:r>
        <w:rPr>
          <w:rFonts w:ascii="Tahoma" w:hAnsi="Tahoma" w:cs="Tahoma"/>
        </w:rPr>
        <w:t xml:space="preserve"> </w:t>
      </w:r>
      <w:r w:rsidR="008E6465">
        <w:rPr>
          <w:rFonts w:ascii="Tahoma" w:hAnsi="Tahoma" w:cs="Tahoma"/>
        </w:rPr>
        <w:t>A</w:t>
      </w:r>
      <w:r>
        <w:rPr>
          <w:rFonts w:ascii="Tahoma" w:hAnsi="Tahoma" w:cs="Tahoma"/>
        </w:rPr>
        <w:t xml:space="preserve">près avoir servi de rappel, </w:t>
      </w:r>
      <w:r w:rsidR="00F35397">
        <w:rPr>
          <w:rFonts w:ascii="Tahoma" w:hAnsi="Tahoma" w:cs="Tahoma"/>
        </w:rPr>
        <w:t xml:space="preserve">il </w:t>
      </w:r>
      <w:r>
        <w:rPr>
          <w:rFonts w:ascii="Tahoma" w:hAnsi="Tahoma" w:cs="Tahoma"/>
        </w:rPr>
        <w:t>a contribué au dernier rebond des prix. Cela permet de penser que la cible de moyen terme de 137.64</w:t>
      </w:r>
      <w:r w:rsidR="008E6465">
        <w:rPr>
          <w:rFonts w:ascii="Tahoma" w:hAnsi="Tahoma" w:cs="Tahoma"/>
        </w:rPr>
        <w:t xml:space="preserve"> restera d’actualité tant que le plat de KS ne sera pas invalidé par une </w:t>
      </w:r>
      <w:r w:rsidR="00BD10A8">
        <w:rPr>
          <w:rFonts w:ascii="Tahoma" w:hAnsi="Tahoma" w:cs="Tahoma"/>
        </w:rPr>
        <w:t>clôture</w:t>
      </w:r>
      <w:r w:rsidR="008E6465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</w:t>
      </w:r>
    </w:p>
    <w:p w14:paraId="66A7CE16" w14:textId="621C4224" w:rsidR="008E6465" w:rsidRDefault="008E6465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Les chandeliers ne donnent pas d’indications particulières. La couleur noire reste minoritaire et laisse penser que les vendeurs </w:t>
      </w:r>
      <w:r w:rsidR="00F35397">
        <w:rPr>
          <w:rFonts w:ascii="Tahoma" w:hAnsi="Tahoma" w:cs="Tahoma"/>
        </w:rPr>
        <w:t>so</w:t>
      </w:r>
      <w:r>
        <w:rPr>
          <w:rFonts w:ascii="Tahoma" w:hAnsi="Tahoma" w:cs="Tahoma"/>
        </w:rPr>
        <w:t>nt moins actifs que les acheteurs.</w:t>
      </w:r>
    </w:p>
    <w:p w14:paraId="37A2C7A7" w14:textId="7135F102" w:rsidR="00082501" w:rsidRDefault="00082501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risque sur le court terme sera la possible formation d’un double top en cassure </w:t>
      </w:r>
      <w:r w:rsidR="00F35397">
        <w:rPr>
          <w:rFonts w:ascii="Tahoma" w:hAnsi="Tahoma" w:cs="Tahoma"/>
        </w:rPr>
        <w:t>dans un premier temps</w:t>
      </w:r>
      <w:r>
        <w:rPr>
          <w:rFonts w:ascii="Tahoma" w:hAnsi="Tahoma" w:cs="Tahoma"/>
        </w:rPr>
        <w:t xml:space="preserve">  de la zone d’équilibre de moyen terme sur 132.90, validé </w:t>
      </w:r>
      <w:r w:rsidR="00F35397">
        <w:rPr>
          <w:rFonts w:ascii="Tahoma" w:hAnsi="Tahoma" w:cs="Tahoma"/>
        </w:rPr>
        <w:t xml:space="preserve">dans un second temps </w:t>
      </w:r>
      <w:r>
        <w:rPr>
          <w:rFonts w:ascii="Tahoma" w:hAnsi="Tahoma" w:cs="Tahoma"/>
        </w:rPr>
        <w:t>par une rupture de la ligne de cou de la figure graphique de retournement, située sur 132.67.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58EB8FF" w14:textId="60C370EF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BA6B73">
        <w:rPr>
          <w:rFonts w:ascii="Tahoma" w:hAnsi="Tahoma" w:cs="Tahoma"/>
        </w:rPr>
        <w:t xml:space="preserve"> Contexte positif </w:t>
      </w:r>
      <w:r w:rsidR="00BD10A8">
        <w:rPr>
          <w:rFonts w:ascii="Tahoma" w:hAnsi="Tahoma" w:cs="Tahoma"/>
        </w:rPr>
        <w:t>au-dessus</w:t>
      </w:r>
      <w:r w:rsidR="00BA6B73">
        <w:rPr>
          <w:rFonts w:ascii="Tahoma" w:hAnsi="Tahoma" w:cs="Tahoma"/>
        </w:rPr>
        <w:t xml:space="preserve"> de 132.90. Le manque de conviction limite le potentiel de hausse à la résistance de 137.64.</w:t>
      </w: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59BA6F7F" w:rsidR="00EE6B93" w:rsidRPr="00530EBF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lastRenderedPageBreak/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56814"/>
    <w:rsid w:val="00082501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9713C"/>
    <w:rsid w:val="001A4796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97D3D"/>
    <w:rsid w:val="0040171B"/>
    <w:rsid w:val="00467005"/>
    <w:rsid w:val="004A2D2D"/>
    <w:rsid w:val="004A5154"/>
    <w:rsid w:val="004D3B58"/>
    <w:rsid w:val="004F48EE"/>
    <w:rsid w:val="00530EBF"/>
    <w:rsid w:val="00531928"/>
    <w:rsid w:val="005440A4"/>
    <w:rsid w:val="00546A5A"/>
    <w:rsid w:val="00566580"/>
    <w:rsid w:val="00567AF3"/>
    <w:rsid w:val="00583BC8"/>
    <w:rsid w:val="005853F8"/>
    <w:rsid w:val="00654380"/>
    <w:rsid w:val="00663140"/>
    <w:rsid w:val="00664BE1"/>
    <w:rsid w:val="006B055C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3454A"/>
    <w:rsid w:val="00837B38"/>
    <w:rsid w:val="00896554"/>
    <w:rsid w:val="008A7407"/>
    <w:rsid w:val="008E6465"/>
    <w:rsid w:val="008F10C2"/>
    <w:rsid w:val="00902D2F"/>
    <w:rsid w:val="009235B9"/>
    <w:rsid w:val="00961FDF"/>
    <w:rsid w:val="00983B7D"/>
    <w:rsid w:val="009A37C2"/>
    <w:rsid w:val="009F3AB8"/>
    <w:rsid w:val="00A11606"/>
    <w:rsid w:val="00A35CAC"/>
    <w:rsid w:val="00A6401C"/>
    <w:rsid w:val="00A81AB7"/>
    <w:rsid w:val="00AA522C"/>
    <w:rsid w:val="00AE7F3B"/>
    <w:rsid w:val="00B20354"/>
    <w:rsid w:val="00B34260"/>
    <w:rsid w:val="00B41C02"/>
    <w:rsid w:val="00B4335A"/>
    <w:rsid w:val="00B50E38"/>
    <w:rsid w:val="00B554B8"/>
    <w:rsid w:val="00B64EE0"/>
    <w:rsid w:val="00B66C3C"/>
    <w:rsid w:val="00B94D71"/>
    <w:rsid w:val="00BA6B73"/>
    <w:rsid w:val="00BB0E32"/>
    <w:rsid w:val="00BB6D9D"/>
    <w:rsid w:val="00BC54EC"/>
    <w:rsid w:val="00BC77A5"/>
    <w:rsid w:val="00BD10A8"/>
    <w:rsid w:val="00BD3FC1"/>
    <w:rsid w:val="00C17ED7"/>
    <w:rsid w:val="00C41F15"/>
    <w:rsid w:val="00C54981"/>
    <w:rsid w:val="00C70171"/>
    <w:rsid w:val="00C70A68"/>
    <w:rsid w:val="00C82E98"/>
    <w:rsid w:val="00CB17C9"/>
    <w:rsid w:val="00CC72FF"/>
    <w:rsid w:val="00CC7C21"/>
    <w:rsid w:val="00CD5254"/>
    <w:rsid w:val="00CE0886"/>
    <w:rsid w:val="00CF2516"/>
    <w:rsid w:val="00CF6D63"/>
    <w:rsid w:val="00D23B28"/>
    <w:rsid w:val="00D46C8D"/>
    <w:rsid w:val="00DA1359"/>
    <w:rsid w:val="00DE5444"/>
    <w:rsid w:val="00DF072F"/>
    <w:rsid w:val="00E22B5A"/>
    <w:rsid w:val="00E32014"/>
    <w:rsid w:val="00E3727C"/>
    <w:rsid w:val="00EB58BA"/>
    <w:rsid w:val="00EE2F24"/>
    <w:rsid w:val="00EE6B93"/>
    <w:rsid w:val="00F04A6E"/>
    <w:rsid w:val="00F04DEF"/>
    <w:rsid w:val="00F31070"/>
    <w:rsid w:val="00F32D5C"/>
    <w:rsid w:val="00F35397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697</TotalTime>
  <Pages>3</Pages>
  <Words>443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112</cp:revision>
  <dcterms:created xsi:type="dcterms:W3CDTF">2021-11-25T09:44:00Z</dcterms:created>
  <dcterms:modified xsi:type="dcterms:W3CDTF">2024-09-29T12:55:00Z</dcterms:modified>
</cp:coreProperties>
</file>