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F239669" w:rsidR="00902D2F" w:rsidRDefault="00F43A1F" w:rsidP="00B41C02">
      <w:pPr>
        <w:jc w:val="both"/>
        <w:rPr>
          <w:rFonts w:ascii="Tahoma" w:hAnsi="Tahoma" w:cs="Tahoma"/>
        </w:rPr>
      </w:pPr>
      <w:r>
        <w:rPr>
          <w:noProof/>
        </w:rPr>
        <w:drawing>
          <wp:inline distT="0" distB="0" distL="0" distR="0" wp14:anchorId="3A93A045" wp14:editId="4C4DE7FC">
            <wp:extent cx="5760720" cy="4320540"/>
            <wp:effectExtent l="0" t="0" r="0" b="3810"/>
            <wp:docPr id="2280308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2E19C347"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1A4796">
        <w:rPr>
          <w:rFonts w:ascii="Tahoma" w:hAnsi="Tahoma" w:cs="Tahoma"/>
        </w:rPr>
        <w:t>a</w:t>
      </w:r>
      <w:r w:rsidR="00A1074D">
        <w:rPr>
          <w:rFonts w:ascii="Tahoma" w:hAnsi="Tahoma" w:cs="Tahoma"/>
        </w:rPr>
        <w:t xml:space="preserve"> phase de dérive </w:t>
      </w:r>
      <w:r w:rsidR="00EC5236">
        <w:rPr>
          <w:rFonts w:ascii="Tahoma" w:hAnsi="Tahoma" w:cs="Tahoma"/>
        </w:rPr>
        <w:t>latérale</w:t>
      </w:r>
      <w:r w:rsidR="00A1074D">
        <w:rPr>
          <w:rFonts w:ascii="Tahoma" w:hAnsi="Tahoma" w:cs="Tahoma"/>
        </w:rPr>
        <w:t xml:space="preserve"> se poursuit. Comme je l’ai déjà indiqué</w:t>
      </w:r>
      <w:r w:rsidR="00EC5236">
        <w:rPr>
          <w:rFonts w:ascii="Tahoma" w:hAnsi="Tahoma" w:cs="Tahoma"/>
        </w:rPr>
        <w:t>,</w:t>
      </w:r>
      <w:r w:rsidR="00A1074D">
        <w:rPr>
          <w:rFonts w:ascii="Tahoma" w:hAnsi="Tahoma" w:cs="Tahoma"/>
        </w:rPr>
        <w:t xml:space="preserve"> cette dernière cadre le contrat Bund entre 128.02 et 137.64 avec une zone d’équilibre situé</w:t>
      </w:r>
      <w:r w:rsidR="00EC5236">
        <w:rPr>
          <w:rFonts w:ascii="Tahoma" w:hAnsi="Tahoma" w:cs="Tahoma"/>
        </w:rPr>
        <w:t>e</w:t>
      </w:r>
      <w:r w:rsidR="00A1074D">
        <w:rPr>
          <w:rFonts w:ascii="Tahoma" w:hAnsi="Tahoma" w:cs="Tahoma"/>
        </w:rPr>
        <w:t xml:space="preserve"> sur 132.90. Dans l’analyse en nuage, </w:t>
      </w:r>
      <w:r w:rsidR="00EC5236">
        <w:rPr>
          <w:rFonts w:ascii="Tahoma" w:hAnsi="Tahoma" w:cs="Tahoma"/>
        </w:rPr>
        <w:t>ce</w:t>
      </w:r>
      <w:r w:rsidR="00A1074D">
        <w:rPr>
          <w:rFonts w:ascii="Tahoma" w:hAnsi="Tahoma" w:cs="Tahoma"/>
        </w:rPr>
        <w:t xml:space="preserve"> point de 132.90 sera probab</w:t>
      </w:r>
      <w:r w:rsidR="008775BB">
        <w:rPr>
          <w:rFonts w:ascii="Tahoma" w:hAnsi="Tahoma" w:cs="Tahoma"/>
        </w:rPr>
        <w:t>le</w:t>
      </w:r>
      <w:r w:rsidR="00A1074D">
        <w:rPr>
          <w:rFonts w:ascii="Tahoma" w:hAnsi="Tahoma" w:cs="Tahoma"/>
        </w:rPr>
        <w:t>ment le plus pertin</w:t>
      </w:r>
      <w:r w:rsidR="008775BB">
        <w:rPr>
          <w:rFonts w:ascii="Tahoma" w:hAnsi="Tahoma" w:cs="Tahoma"/>
        </w:rPr>
        <w:t>e</w:t>
      </w:r>
      <w:r w:rsidR="00A1074D">
        <w:rPr>
          <w:rFonts w:ascii="Tahoma" w:hAnsi="Tahoma" w:cs="Tahoma"/>
        </w:rPr>
        <w:t xml:space="preserve">nt. </w:t>
      </w:r>
      <w:r w:rsidR="009604C2">
        <w:rPr>
          <w:rFonts w:ascii="Tahoma" w:hAnsi="Tahoma" w:cs="Tahoma"/>
        </w:rPr>
        <w:t>En effet la position des cours par rapport à ce niveau permettra d’envisager une hausse sur 137.64 ou une baisse sur 128.02.</w:t>
      </w:r>
      <w:r w:rsidR="00A1074D">
        <w:rPr>
          <w:rFonts w:ascii="Tahoma" w:hAnsi="Tahoma" w:cs="Tahoma"/>
        </w:rPr>
        <w:t xml:space="preserve"> </w:t>
      </w:r>
    </w:p>
    <w:p w14:paraId="374D1F17" w14:textId="000078C1" w:rsidR="00583BC8" w:rsidRDefault="007C48EC" w:rsidP="00B41C02">
      <w:pPr>
        <w:jc w:val="both"/>
        <w:rPr>
          <w:rFonts w:ascii="Tahoma" w:hAnsi="Tahoma" w:cs="Tahoma"/>
        </w:rPr>
      </w:pPr>
      <w:r>
        <w:rPr>
          <w:rFonts w:ascii="Tahoma" w:hAnsi="Tahoma" w:cs="Tahoma"/>
        </w:rPr>
        <w:t xml:space="preserve">La mèche haute de la dernière bougie montre une hausse sur 136.20 avant un retournement des prix. Cette bougie renforce l’idée d’indécision </w:t>
      </w:r>
      <w:r w:rsidR="00770AD4">
        <w:rPr>
          <w:rFonts w:ascii="Tahoma" w:hAnsi="Tahoma" w:cs="Tahoma"/>
        </w:rPr>
        <w:t>développée</w:t>
      </w:r>
      <w:r w:rsidR="005178DF">
        <w:rPr>
          <w:rFonts w:ascii="Tahoma" w:hAnsi="Tahoma" w:cs="Tahoma"/>
        </w:rPr>
        <w:t xml:space="preserve"> lors </w:t>
      </w:r>
      <w:r w:rsidR="00782A5C">
        <w:rPr>
          <w:rFonts w:ascii="Tahoma" w:hAnsi="Tahoma" w:cs="Tahoma"/>
        </w:rPr>
        <w:t>des précédentes analyses</w:t>
      </w:r>
      <w:r w:rsidR="00770AD4">
        <w:rPr>
          <w:rFonts w:ascii="Tahoma" w:hAnsi="Tahoma" w:cs="Tahoma"/>
        </w:rPr>
        <w:t>. Cette incertitude se caractérise par une alternance de</w:t>
      </w:r>
      <w:r w:rsidR="002F1F81">
        <w:rPr>
          <w:rFonts w:ascii="Tahoma" w:hAnsi="Tahoma" w:cs="Tahoma"/>
        </w:rPr>
        <w:t>s</w:t>
      </w:r>
      <w:r w:rsidR="00770AD4">
        <w:rPr>
          <w:rFonts w:ascii="Tahoma" w:hAnsi="Tahoma" w:cs="Tahoma"/>
        </w:rPr>
        <w:t xml:space="preserve"> couleur</w:t>
      </w:r>
      <w:r w:rsidR="002F1F81">
        <w:rPr>
          <w:rFonts w:ascii="Tahoma" w:hAnsi="Tahoma" w:cs="Tahoma"/>
        </w:rPr>
        <w:t>s</w:t>
      </w:r>
      <w:r w:rsidR="00770AD4">
        <w:rPr>
          <w:rFonts w:ascii="Tahoma" w:hAnsi="Tahoma" w:cs="Tahoma"/>
        </w:rPr>
        <w:t xml:space="preserve"> de</w:t>
      </w:r>
      <w:r w:rsidR="002F1F81">
        <w:rPr>
          <w:rFonts w:ascii="Tahoma" w:hAnsi="Tahoma" w:cs="Tahoma"/>
        </w:rPr>
        <w:t>s</w:t>
      </w:r>
      <w:r w:rsidR="00770AD4">
        <w:rPr>
          <w:rFonts w:ascii="Tahoma" w:hAnsi="Tahoma" w:cs="Tahoma"/>
        </w:rPr>
        <w:t xml:space="preserve"> chandelle</w:t>
      </w:r>
      <w:r w:rsidR="00C00154">
        <w:rPr>
          <w:rFonts w:ascii="Tahoma" w:hAnsi="Tahoma" w:cs="Tahoma"/>
        </w:rPr>
        <w:t>s.</w:t>
      </w:r>
      <w:r w:rsidR="00770AD4">
        <w:rPr>
          <w:rFonts w:ascii="Tahoma" w:hAnsi="Tahoma" w:cs="Tahoma"/>
        </w:rPr>
        <w:t xml:space="preserve"> </w:t>
      </w:r>
    </w:p>
    <w:p w14:paraId="4A97D834" w14:textId="23287F42" w:rsidR="008775BB" w:rsidRDefault="008775BB" w:rsidP="00B41C02">
      <w:pPr>
        <w:jc w:val="both"/>
        <w:rPr>
          <w:rFonts w:ascii="Tahoma" w:hAnsi="Tahoma" w:cs="Tahoma"/>
        </w:rPr>
      </w:pPr>
      <w:r>
        <w:rPr>
          <w:rFonts w:ascii="Tahoma" w:hAnsi="Tahoma" w:cs="Tahoma"/>
        </w:rPr>
        <w:t xml:space="preserve">Mais le plus important dans cette alternance, c’est qu’elle se développe </w:t>
      </w:r>
      <w:r w:rsidR="00EC5236">
        <w:rPr>
          <w:rFonts w:ascii="Tahoma" w:hAnsi="Tahoma" w:cs="Tahoma"/>
        </w:rPr>
        <w:t>au-dessus</w:t>
      </w:r>
      <w:r>
        <w:rPr>
          <w:rFonts w:ascii="Tahoma" w:hAnsi="Tahoma" w:cs="Tahoma"/>
        </w:rPr>
        <w:t xml:space="preserve"> de 132.90. Cela signifie que pour le moment le biais positif </w:t>
      </w:r>
      <w:r w:rsidR="00173916">
        <w:rPr>
          <w:rFonts w:ascii="Tahoma" w:hAnsi="Tahoma" w:cs="Tahoma"/>
        </w:rPr>
        <w:t>évoqué en dépassement du point d’équilibre n’est pas remis en question.</w:t>
      </w:r>
    </w:p>
    <w:p w14:paraId="652D6060" w14:textId="77777777" w:rsidR="008775BB" w:rsidRDefault="008775BB"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41330350" w:rsidR="00583BC8" w:rsidRDefault="00F43A1F" w:rsidP="00B41C02">
      <w:pPr>
        <w:jc w:val="both"/>
        <w:rPr>
          <w:rFonts w:ascii="Tahoma" w:hAnsi="Tahoma" w:cs="Tahoma"/>
        </w:rPr>
      </w:pPr>
      <w:r>
        <w:rPr>
          <w:noProof/>
        </w:rPr>
        <w:lastRenderedPageBreak/>
        <w:drawing>
          <wp:inline distT="0" distB="0" distL="0" distR="0" wp14:anchorId="466BEC93" wp14:editId="36D15DA5">
            <wp:extent cx="5760720" cy="4320540"/>
            <wp:effectExtent l="0" t="0" r="0" b="3810"/>
            <wp:docPr id="134330928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55A0F026" w14:textId="2F381EC3" w:rsidR="00032E00" w:rsidRDefault="00032E00" w:rsidP="00041E45">
      <w:pPr>
        <w:jc w:val="both"/>
        <w:rPr>
          <w:rFonts w:ascii="Tahoma" w:hAnsi="Tahoma" w:cs="Tahoma"/>
        </w:rPr>
      </w:pPr>
      <w:r>
        <w:rPr>
          <w:rFonts w:ascii="Tahoma" w:hAnsi="Tahoma" w:cs="Tahoma"/>
        </w:rPr>
        <w:t xml:space="preserve">Le retournement des prix a </w:t>
      </w:r>
      <w:r w:rsidR="00EC5236">
        <w:rPr>
          <w:rFonts w:ascii="Tahoma" w:hAnsi="Tahoma" w:cs="Tahoma"/>
        </w:rPr>
        <w:t>vu</w:t>
      </w:r>
      <w:r>
        <w:rPr>
          <w:rFonts w:ascii="Tahoma" w:hAnsi="Tahoma" w:cs="Tahoma"/>
        </w:rPr>
        <w:t xml:space="preserve"> le contrat revenir sur son nuage. La borne haute de ce dernier a servi de support et l’ombre basse montre un </w:t>
      </w:r>
      <w:r w:rsidR="00EC5236">
        <w:rPr>
          <w:rFonts w:ascii="Tahoma" w:hAnsi="Tahoma" w:cs="Tahoma"/>
        </w:rPr>
        <w:t>léger</w:t>
      </w:r>
      <w:r>
        <w:rPr>
          <w:rFonts w:ascii="Tahoma" w:hAnsi="Tahoma" w:cs="Tahoma"/>
        </w:rPr>
        <w:t xml:space="preserve"> rebond des prix. </w:t>
      </w:r>
    </w:p>
    <w:p w14:paraId="198395AA" w14:textId="6033023F" w:rsidR="006E4016" w:rsidRDefault="00032E00" w:rsidP="00041E45">
      <w:pPr>
        <w:jc w:val="both"/>
        <w:rPr>
          <w:rFonts w:ascii="Tahoma" w:hAnsi="Tahoma" w:cs="Tahoma"/>
        </w:rPr>
      </w:pPr>
      <w:r>
        <w:rPr>
          <w:rFonts w:ascii="Tahoma" w:hAnsi="Tahoma" w:cs="Tahoma"/>
        </w:rPr>
        <w:t xml:space="preserve">Le nuage est croissant et les cours se maintiennent </w:t>
      </w:r>
      <w:r w:rsidR="00EC5236">
        <w:rPr>
          <w:rFonts w:ascii="Tahoma" w:hAnsi="Tahoma" w:cs="Tahoma"/>
        </w:rPr>
        <w:t>au-dessus</w:t>
      </w:r>
      <w:r>
        <w:rPr>
          <w:rFonts w:ascii="Tahoma" w:hAnsi="Tahoma" w:cs="Tahoma"/>
        </w:rPr>
        <w:t xml:space="preserve">. La LS quant à elle </w:t>
      </w:r>
      <w:r w:rsidR="003C6C3F">
        <w:rPr>
          <w:rFonts w:ascii="Tahoma" w:hAnsi="Tahoma" w:cs="Tahoma"/>
        </w:rPr>
        <w:t xml:space="preserve">est </w:t>
      </w:r>
      <w:r>
        <w:rPr>
          <w:rFonts w:ascii="Tahoma" w:hAnsi="Tahoma" w:cs="Tahoma"/>
        </w:rPr>
        <w:t>arriv</w:t>
      </w:r>
      <w:r w:rsidR="003C6C3F">
        <w:rPr>
          <w:rFonts w:ascii="Tahoma" w:hAnsi="Tahoma" w:cs="Tahoma"/>
        </w:rPr>
        <w:t>ée</w:t>
      </w:r>
      <w:r>
        <w:rPr>
          <w:rFonts w:ascii="Tahoma" w:hAnsi="Tahoma" w:cs="Tahoma"/>
        </w:rPr>
        <w:t xml:space="preserve"> sur </w:t>
      </w:r>
      <w:r w:rsidR="003C6C3F">
        <w:rPr>
          <w:rFonts w:ascii="Tahoma" w:hAnsi="Tahoma" w:cs="Tahoma"/>
        </w:rPr>
        <w:t>s</w:t>
      </w:r>
      <w:r>
        <w:rPr>
          <w:rFonts w:ascii="Tahoma" w:hAnsi="Tahoma" w:cs="Tahoma"/>
        </w:rPr>
        <w:t xml:space="preserve">es prix. </w:t>
      </w:r>
      <w:r w:rsidR="00EB3E18">
        <w:rPr>
          <w:rFonts w:ascii="Tahoma" w:hAnsi="Tahoma" w:cs="Tahoma"/>
        </w:rPr>
        <w:t xml:space="preserve">Elle passera cet obstacle </w:t>
      </w:r>
      <w:r w:rsidR="003C6C3F">
        <w:rPr>
          <w:rFonts w:ascii="Tahoma" w:hAnsi="Tahoma" w:cs="Tahoma"/>
        </w:rPr>
        <w:t>qu’</w:t>
      </w:r>
      <w:r w:rsidR="00EB3E18">
        <w:rPr>
          <w:rFonts w:ascii="Tahoma" w:hAnsi="Tahoma" w:cs="Tahoma"/>
        </w:rPr>
        <w:t xml:space="preserve">en </w:t>
      </w:r>
      <w:r w:rsidR="00EC5236">
        <w:rPr>
          <w:rFonts w:ascii="Tahoma" w:hAnsi="Tahoma" w:cs="Tahoma"/>
        </w:rPr>
        <w:t>clôture</w:t>
      </w:r>
      <w:r w:rsidR="00EB3E18">
        <w:rPr>
          <w:rFonts w:ascii="Tahoma" w:hAnsi="Tahoma" w:cs="Tahoma"/>
        </w:rPr>
        <w:t xml:space="preserve"> sous 132.65. Le plat de SSB future se situe lui aussi sur 132.65. Ces obstacles</w:t>
      </w:r>
      <w:r w:rsidR="006C6531">
        <w:rPr>
          <w:rFonts w:ascii="Tahoma" w:hAnsi="Tahoma" w:cs="Tahoma"/>
        </w:rPr>
        <w:t xml:space="preserve"> devrai</w:t>
      </w:r>
      <w:r w:rsidR="006E4016">
        <w:rPr>
          <w:rFonts w:ascii="Tahoma" w:hAnsi="Tahoma" w:cs="Tahoma"/>
        </w:rPr>
        <w:t>en</w:t>
      </w:r>
      <w:r w:rsidR="006C6531">
        <w:rPr>
          <w:rFonts w:ascii="Tahoma" w:hAnsi="Tahoma" w:cs="Tahoma"/>
        </w:rPr>
        <w:t xml:space="preserve">t renforcer le point d’équilibre de moyen terme </w:t>
      </w:r>
      <w:r w:rsidR="003C6C3F">
        <w:rPr>
          <w:rFonts w:ascii="Tahoma" w:hAnsi="Tahoma" w:cs="Tahoma"/>
        </w:rPr>
        <w:t xml:space="preserve">de 132.90 </w:t>
      </w:r>
      <w:r w:rsidR="006C6531">
        <w:rPr>
          <w:rFonts w:ascii="Tahoma" w:hAnsi="Tahoma" w:cs="Tahoma"/>
        </w:rPr>
        <w:t xml:space="preserve">et </w:t>
      </w:r>
      <w:r w:rsidR="006E4016">
        <w:rPr>
          <w:rFonts w:ascii="Tahoma" w:hAnsi="Tahoma" w:cs="Tahoma"/>
        </w:rPr>
        <w:t>bloquer la poursuite de la baisse.</w:t>
      </w:r>
    </w:p>
    <w:p w14:paraId="67B8B186" w14:textId="2D202BF7" w:rsidR="00467005" w:rsidRDefault="006E4016" w:rsidP="00041E45">
      <w:pPr>
        <w:jc w:val="both"/>
        <w:rPr>
          <w:rFonts w:ascii="Tahoma" w:hAnsi="Tahoma" w:cs="Tahoma"/>
        </w:rPr>
      </w:pPr>
      <w:r>
        <w:rPr>
          <w:rFonts w:ascii="Tahoma" w:hAnsi="Tahoma" w:cs="Tahoma"/>
        </w:rPr>
        <w:t xml:space="preserve">Les trois chandeliers noirs successifs, sont </w:t>
      </w:r>
      <w:r w:rsidR="00EC5236">
        <w:rPr>
          <w:rFonts w:ascii="Tahoma" w:hAnsi="Tahoma" w:cs="Tahoma"/>
        </w:rPr>
        <w:t>généralement</w:t>
      </w:r>
      <w:r>
        <w:rPr>
          <w:rFonts w:ascii="Tahoma" w:hAnsi="Tahoma" w:cs="Tahoma"/>
        </w:rPr>
        <w:t xml:space="preserve"> le signale d’un retournement de marché. </w:t>
      </w:r>
      <w:r w:rsidR="008E340E">
        <w:rPr>
          <w:rFonts w:ascii="Tahoma" w:hAnsi="Tahoma" w:cs="Tahoma"/>
        </w:rPr>
        <w:t>L</w:t>
      </w:r>
      <w:r w:rsidR="006967D1">
        <w:rPr>
          <w:rFonts w:ascii="Tahoma" w:hAnsi="Tahoma" w:cs="Tahoma"/>
        </w:rPr>
        <w:t xml:space="preserve">es </w:t>
      </w:r>
      <w:r w:rsidR="008C7162">
        <w:rPr>
          <w:rFonts w:ascii="Tahoma" w:hAnsi="Tahoma" w:cs="Tahoma"/>
        </w:rPr>
        <w:t>écarts</w:t>
      </w:r>
      <w:r w:rsidR="008E340E">
        <w:rPr>
          <w:rFonts w:ascii="Tahoma" w:hAnsi="Tahoma" w:cs="Tahoma"/>
        </w:rPr>
        <w:t xml:space="preserve"> entre </w:t>
      </w:r>
      <w:r w:rsidR="006967D1">
        <w:rPr>
          <w:rFonts w:ascii="Tahoma" w:hAnsi="Tahoma" w:cs="Tahoma"/>
        </w:rPr>
        <w:t xml:space="preserve">les </w:t>
      </w:r>
      <w:r w:rsidR="008C7162">
        <w:rPr>
          <w:rFonts w:ascii="Tahoma" w:hAnsi="Tahoma" w:cs="Tahoma"/>
        </w:rPr>
        <w:t>clôtures</w:t>
      </w:r>
      <w:r w:rsidR="008E340E">
        <w:rPr>
          <w:rFonts w:ascii="Tahoma" w:hAnsi="Tahoma" w:cs="Tahoma"/>
        </w:rPr>
        <w:t xml:space="preserve"> J-1 et </w:t>
      </w:r>
      <w:r w:rsidR="006967D1">
        <w:rPr>
          <w:rFonts w:ascii="Tahoma" w:hAnsi="Tahoma" w:cs="Tahoma"/>
        </w:rPr>
        <w:t xml:space="preserve">les </w:t>
      </w:r>
      <w:r w:rsidR="008E340E">
        <w:rPr>
          <w:rFonts w:ascii="Tahoma" w:hAnsi="Tahoma" w:cs="Tahoma"/>
        </w:rPr>
        <w:t>ouverture</w:t>
      </w:r>
      <w:r w:rsidR="006967D1">
        <w:rPr>
          <w:rFonts w:ascii="Tahoma" w:hAnsi="Tahoma" w:cs="Tahoma"/>
        </w:rPr>
        <w:t>s</w:t>
      </w:r>
      <w:r w:rsidR="008E340E">
        <w:rPr>
          <w:rFonts w:ascii="Tahoma" w:hAnsi="Tahoma" w:cs="Tahoma"/>
        </w:rPr>
        <w:t xml:space="preserve"> J montre que les acheteurs sont absents </w:t>
      </w:r>
      <w:r w:rsidR="008C7162">
        <w:rPr>
          <w:rFonts w:ascii="Tahoma" w:hAnsi="Tahoma" w:cs="Tahoma"/>
        </w:rPr>
        <w:t>dès</w:t>
      </w:r>
      <w:r w:rsidR="006967D1">
        <w:rPr>
          <w:rFonts w:ascii="Tahoma" w:hAnsi="Tahoma" w:cs="Tahoma"/>
        </w:rPr>
        <w:t xml:space="preserve"> le début de la séance.</w:t>
      </w:r>
      <w:r w:rsidR="002B05DC">
        <w:rPr>
          <w:rFonts w:ascii="Tahoma" w:hAnsi="Tahoma" w:cs="Tahoma"/>
        </w:rPr>
        <w:t xml:space="preserve"> Ces derniers devraient chercher des points d’entrée opportuns et </w:t>
      </w:r>
      <w:r>
        <w:rPr>
          <w:rFonts w:ascii="Tahoma" w:hAnsi="Tahoma" w:cs="Tahoma"/>
        </w:rPr>
        <w:t xml:space="preserve"> </w:t>
      </w:r>
      <w:r w:rsidR="002B05DC">
        <w:rPr>
          <w:rFonts w:ascii="Tahoma" w:hAnsi="Tahoma" w:cs="Tahoma"/>
        </w:rPr>
        <w:t xml:space="preserve">pourraient agir </w:t>
      </w:r>
      <w:r w:rsidR="00102111">
        <w:rPr>
          <w:rFonts w:ascii="Tahoma" w:hAnsi="Tahoma" w:cs="Tahoma"/>
        </w:rPr>
        <w:t xml:space="preserve">entre 132.90 ou </w:t>
      </w:r>
      <w:r w:rsidR="002B05DC">
        <w:rPr>
          <w:rFonts w:ascii="Tahoma" w:hAnsi="Tahoma" w:cs="Tahoma"/>
        </w:rPr>
        <w:t xml:space="preserve">à l’approche </w:t>
      </w:r>
      <w:r>
        <w:rPr>
          <w:rFonts w:ascii="Tahoma" w:hAnsi="Tahoma" w:cs="Tahoma"/>
        </w:rPr>
        <w:t xml:space="preserve">la ligne de cou de 132.65 du double top irrégulier. </w:t>
      </w:r>
    </w:p>
    <w:p w14:paraId="10BB9766" w14:textId="77777777" w:rsidR="00723F77" w:rsidRDefault="00723F77" w:rsidP="00041E45">
      <w:pPr>
        <w:jc w:val="both"/>
        <w:rPr>
          <w:rFonts w:ascii="Tahoma" w:hAnsi="Tahoma" w:cs="Tahoma"/>
        </w:rPr>
      </w:pPr>
    </w:p>
    <w:p w14:paraId="258EB8FF" w14:textId="1715E98C"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2C5D1A">
        <w:rPr>
          <w:rFonts w:ascii="Tahoma" w:hAnsi="Tahoma" w:cs="Tahoma"/>
        </w:rPr>
        <w:t xml:space="preserve"> </w:t>
      </w:r>
      <w:r w:rsidR="0066375A">
        <w:rPr>
          <w:rFonts w:ascii="Tahoma" w:hAnsi="Tahoma" w:cs="Tahoma"/>
        </w:rPr>
        <w:t xml:space="preserve">La baisse des prix de la semaine a rapproché le marché de son </w:t>
      </w:r>
      <w:r w:rsidR="00DD7F2E">
        <w:rPr>
          <w:rFonts w:ascii="Tahoma" w:hAnsi="Tahoma" w:cs="Tahoma"/>
        </w:rPr>
        <w:t>point d’équilibre de moyen terme de 132.90. Une poursuite de la baisse sur le court terme trouvera en 132.65 un niveau de support solide matérialisé par un plat de SSB et une barrière de prix au niveau de la LS. Le biais positif actuel limite la baisse à cette zone comprise entre 132.90 et 132.65.</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lastRenderedPageBreak/>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32E00"/>
    <w:rsid w:val="00041E45"/>
    <w:rsid w:val="000524C5"/>
    <w:rsid w:val="000556C3"/>
    <w:rsid w:val="000833FB"/>
    <w:rsid w:val="00092058"/>
    <w:rsid w:val="000938CC"/>
    <w:rsid w:val="000B221E"/>
    <w:rsid w:val="000B7DFC"/>
    <w:rsid w:val="000C0DE4"/>
    <w:rsid w:val="000D4ED3"/>
    <w:rsid w:val="001018AD"/>
    <w:rsid w:val="00102111"/>
    <w:rsid w:val="00103ED4"/>
    <w:rsid w:val="00105B4E"/>
    <w:rsid w:val="00134AFA"/>
    <w:rsid w:val="00135766"/>
    <w:rsid w:val="0014687D"/>
    <w:rsid w:val="0015581D"/>
    <w:rsid w:val="00163C46"/>
    <w:rsid w:val="001705F4"/>
    <w:rsid w:val="00173916"/>
    <w:rsid w:val="00190995"/>
    <w:rsid w:val="001A4796"/>
    <w:rsid w:val="001D474B"/>
    <w:rsid w:val="001F650A"/>
    <w:rsid w:val="002003AD"/>
    <w:rsid w:val="002421FE"/>
    <w:rsid w:val="00262E25"/>
    <w:rsid w:val="00263ED0"/>
    <w:rsid w:val="002A1F8E"/>
    <w:rsid w:val="002B05DC"/>
    <w:rsid w:val="002B5CB1"/>
    <w:rsid w:val="002C0A31"/>
    <w:rsid w:val="002C5D1A"/>
    <w:rsid w:val="002E6E51"/>
    <w:rsid w:val="002F1F81"/>
    <w:rsid w:val="002F54B0"/>
    <w:rsid w:val="00303214"/>
    <w:rsid w:val="0030643B"/>
    <w:rsid w:val="00337611"/>
    <w:rsid w:val="00340FD9"/>
    <w:rsid w:val="00352DD9"/>
    <w:rsid w:val="003767E0"/>
    <w:rsid w:val="00397D3D"/>
    <w:rsid w:val="003C6C3F"/>
    <w:rsid w:val="0040171B"/>
    <w:rsid w:val="00467005"/>
    <w:rsid w:val="004A2D2D"/>
    <w:rsid w:val="004A5154"/>
    <w:rsid w:val="004F48EE"/>
    <w:rsid w:val="005178DF"/>
    <w:rsid w:val="00531928"/>
    <w:rsid w:val="005440A4"/>
    <w:rsid w:val="00546A5A"/>
    <w:rsid w:val="00566580"/>
    <w:rsid w:val="00567AF3"/>
    <w:rsid w:val="00583BC8"/>
    <w:rsid w:val="00654380"/>
    <w:rsid w:val="0066375A"/>
    <w:rsid w:val="00664BE1"/>
    <w:rsid w:val="006967D1"/>
    <w:rsid w:val="006B055C"/>
    <w:rsid w:val="006C6531"/>
    <w:rsid w:val="006E32BB"/>
    <w:rsid w:val="006E38E0"/>
    <w:rsid w:val="006E4016"/>
    <w:rsid w:val="00710599"/>
    <w:rsid w:val="00723F77"/>
    <w:rsid w:val="00744696"/>
    <w:rsid w:val="00756E05"/>
    <w:rsid w:val="00770AD4"/>
    <w:rsid w:val="00772067"/>
    <w:rsid w:val="0077545D"/>
    <w:rsid w:val="00782A5C"/>
    <w:rsid w:val="007A0A4B"/>
    <w:rsid w:val="007A0E6C"/>
    <w:rsid w:val="007B1237"/>
    <w:rsid w:val="007B661D"/>
    <w:rsid w:val="007C48EC"/>
    <w:rsid w:val="007D19FF"/>
    <w:rsid w:val="007D2085"/>
    <w:rsid w:val="007D4181"/>
    <w:rsid w:val="0083454A"/>
    <w:rsid w:val="00837B38"/>
    <w:rsid w:val="008412A2"/>
    <w:rsid w:val="008775BB"/>
    <w:rsid w:val="00896554"/>
    <w:rsid w:val="008A7407"/>
    <w:rsid w:val="008C7162"/>
    <w:rsid w:val="008E340E"/>
    <w:rsid w:val="008F10C2"/>
    <w:rsid w:val="00902D2F"/>
    <w:rsid w:val="009604C2"/>
    <w:rsid w:val="00961FDF"/>
    <w:rsid w:val="00983B7D"/>
    <w:rsid w:val="009A37C2"/>
    <w:rsid w:val="009F3AB8"/>
    <w:rsid w:val="00A1074D"/>
    <w:rsid w:val="00A11606"/>
    <w:rsid w:val="00A56596"/>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3FC1"/>
    <w:rsid w:val="00C00154"/>
    <w:rsid w:val="00C17ED7"/>
    <w:rsid w:val="00C20CFB"/>
    <w:rsid w:val="00C41F15"/>
    <w:rsid w:val="00C70171"/>
    <w:rsid w:val="00C70A68"/>
    <w:rsid w:val="00C82E98"/>
    <w:rsid w:val="00CB17C9"/>
    <w:rsid w:val="00CC72FF"/>
    <w:rsid w:val="00CC7C21"/>
    <w:rsid w:val="00CE0886"/>
    <w:rsid w:val="00CF2516"/>
    <w:rsid w:val="00CF6D63"/>
    <w:rsid w:val="00D23B28"/>
    <w:rsid w:val="00D46C8D"/>
    <w:rsid w:val="00DA1359"/>
    <w:rsid w:val="00DD7F2E"/>
    <w:rsid w:val="00DE5444"/>
    <w:rsid w:val="00DF072F"/>
    <w:rsid w:val="00E32014"/>
    <w:rsid w:val="00E3727C"/>
    <w:rsid w:val="00EB3E18"/>
    <w:rsid w:val="00EB58BA"/>
    <w:rsid w:val="00EC5236"/>
    <w:rsid w:val="00EE6B93"/>
    <w:rsid w:val="00F04A6E"/>
    <w:rsid w:val="00F04DEF"/>
    <w:rsid w:val="00F31070"/>
    <w:rsid w:val="00F43A1F"/>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646</TotalTime>
  <Pages>3</Pages>
  <Words>469</Words>
  <Characters>2584</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124</cp:revision>
  <dcterms:created xsi:type="dcterms:W3CDTF">2021-11-25T09:44:00Z</dcterms:created>
  <dcterms:modified xsi:type="dcterms:W3CDTF">2024-10-06T09:57:00Z</dcterms:modified>
</cp:coreProperties>
</file>