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706914F6" w:rsidR="00902D2F" w:rsidRDefault="00186A8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6169E6D" wp14:editId="6651A69B">
            <wp:extent cx="5760720" cy="4320540"/>
            <wp:effectExtent l="0" t="0" r="0" b="3810"/>
            <wp:docPr id="61100108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31F11DF3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525527">
        <w:rPr>
          <w:rFonts w:ascii="Tahoma" w:hAnsi="Tahoma" w:cs="Tahoma"/>
        </w:rPr>
        <w:t>a baisse de la semaine ne remet pas en question la poursuite de la consolidation horizontale.</w:t>
      </w:r>
    </w:p>
    <w:p w14:paraId="5F978812" w14:textId="7B39AA61" w:rsidR="00525527" w:rsidRDefault="0052552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recul des prix a ramené le contrat Bund sur la zone d’équilibre de la dérive latérale qui se situe sur 132.90.</w:t>
      </w:r>
      <w:r w:rsidR="001850C3">
        <w:rPr>
          <w:rFonts w:ascii="Tahoma" w:hAnsi="Tahoma" w:cs="Tahoma"/>
        </w:rPr>
        <w:t xml:space="preserve"> </w:t>
      </w:r>
      <w:r w:rsidR="0071670E">
        <w:rPr>
          <w:rFonts w:ascii="Tahoma" w:hAnsi="Tahoma" w:cs="Tahoma"/>
        </w:rPr>
        <w:t>la zone de consolidation</w:t>
      </w:r>
      <w:r w:rsidR="001850C3">
        <w:rPr>
          <w:rFonts w:ascii="Tahoma" w:hAnsi="Tahoma" w:cs="Tahoma"/>
        </w:rPr>
        <w:t xml:space="preserve"> a pour résistance haute 137.64 et en support planch</w:t>
      </w:r>
      <w:r w:rsidR="006C41DE">
        <w:rPr>
          <w:rFonts w:ascii="Tahoma" w:hAnsi="Tahoma" w:cs="Tahoma"/>
        </w:rPr>
        <w:t>er</w:t>
      </w:r>
      <w:r w:rsidR="001850C3">
        <w:rPr>
          <w:rFonts w:ascii="Tahoma" w:hAnsi="Tahoma" w:cs="Tahoma"/>
        </w:rPr>
        <w:t xml:space="preserve"> sur 128.02.</w:t>
      </w:r>
    </w:p>
    <w:p w14:paraId="521C88AF" w14:textId="5FAC72B3" w:rsidR="001850C3" w:rsidRDefault="001850C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maintien des prix </w:t>
      </w:r>
      <w:r w:rsidR="000C515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132.90 permettra de garder un biais positif parce qu’il sera favorable à un test de la résistance haute de 137.64.</w:t>
      </w:r>
    </w:p>
    <w:p w14:paraId="462D5CA7" w14:textId="1CEE5B47" w:rsidR="001850C3" w:rsidRDefault="001850C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Graphiquement, sur la vague de hausse qui a débuté en juin, le marché dessine un double top </w:t>
      </w:r>
      <w:r w:rsidR="000C5156">
        <w:rPr>
          <w:rFonts w:ascii="Tahoma" w:hAnsi="Tahoma" w:cs="Tahoma"/>
        </w:rPr>
        <w:t>irrégulier</w:t>
      </w:r>
      <w:r>
        <w:rPr>
          <w:rFonts w:ascii="Tahoma" w:hAnsi="Tahoma" w:cs="Tahoma"/>
        </w:rPr>
        <w:t xml:space="preserve">. Ce dernier a pour support et ligne de cou 132.55. Une cassure de ce </w:t>
      </w:r>
      <w:r w:rsidR="0071670E">
        <w:rPr>
          <w:rFonts w:ascii="Tahoma" w:hAnsi="Tahoma" w:cs="Tahoma"/>
        </w:rPr>
        <w:t>point</w:t>
      </w:r>
      <w:r>
        <w:rPr>
          <w:rFonts w:ascii="Tahoma" w:hAnsi="Tahoma" w:cs="Tahoma"/>
        </w:rPr>
        <w:t xml:space="preserve"> aura alors comme objectif théorique (et je dis bien théorique) la zone des 129.40. Cette ligne de cou de 132.55 renforce la zone de support qui débute </w:t>
      </w:r>
      <w:r w:rsidR="001D7E47">
        <w:rPr>
          <w:rFonts w:ascii="Tahoma" w:hAnsi="Tahoma" w:cs="Tahoma"/>
        </w:rPr>
        <w:t xml:space="preserve">sur 132.90 et qui sera soutenue par d’autres points que nous </w:t>
      </w:r>
      <w:r w:rsidR="0071670E">
        <w:rPr>
          <w:rFonts w:ascii="Tahoma" w:hAnsi="Tahoma" w:cs="Tahoma"/>
        </w:rPr>
        <w:t>observerons</w:t>
      </w:r>
      <w:r w:rsidR="001D7E47">
        <w:rPr>
          <w:rFonts w:ascii="Tahoma" w:hAnsi="Tahoma" w:cs="Tahoma"/>
        </w:rPr>
        <w:t xml:space="preserve"> sur l’unité de temps inférieure (Daily).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74CC0C96" w:rsidR="00583BC8" w:rsidRDefault="007B3C3D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33B7918" wp14:editId="762714B1">
            <wp:extent cx="5760720" cy="4320540"/>
            <wp:effectExtent l="0" t="0" r="0" b="3810"/>
            <wp:docPr id="57306332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14CF0BD2" w14:textId="29718034" w:rsidR="0058759E" w:rsidRDefault="0090070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contexte est toujours haussier sur le court terme avec un nuage orienté vers le haut. M</w:t>
      </w:r>
      <w:r w:rsidR="00B977D5">
        <w:rPr>
          <w:rFonts w:ascii="Tahoma" w:hAnsi="Tahoma" w:cs="Tahoma"/>
        </w:rPr>
        <w:t>ais m</w:t>
      </w:r>
      <w:r>
        <w:rPr>
          <w:rFonts w:ascii="Tahoma" w:hAnsi="Tahoma" w:cs="Tahoma"/>
        </w:rPr>
        <w:t xml:space="preserve">ême s’il n’est pas remis en question, cet environnement montre des signes de faiblesse. Ainsi la LS n’est pas parvenue à se maintenir </w:t>
      </w:r>
      <w:r w:rsidR="000C515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ses prix. Sa prochaine zone de support sera constituée par son nuage. Le</w:t>
      </w:r>
      <w:r w:rsidR="00B977D5">
        <w:rPr>
          <w:rFonts w:ascii="Tahoma" w:hAnsi="Tahoma" w:cs="Tahoma"/>
        </w:rPr>
        <w:t xml:space="preserve"> Bund</w:t>
      </w:r>
      <w:r>
        <w:rPr>
          <w:rFonts w:ascii="Tahoma" w:hAnsi="Tahoma" w:cs="Tahoma"/>
        </w:rPr>
        <w:t xml:space="preserve"> quant à </w:t>
      </w:r>
      <w:r w:rsidR="00B977D5">
        <w:rPr>
          <w:rFonts w:ascii="Tahoma" w:hAnsi="Tahoma" w:cs="Tahoma"/>
        </w:rPr>
        <w:t>lui, a</w:t>
      </w:r>
      <w:r>
        <w:rPr>
          <w:rFonts w:ascii="Tahoma" w:hAnsi="Tahoma" w:cs="Tahoma"/>
        </w:rPr>
        <w:t xml:space="preserve"> cassé la borne haute </w:t>
      </w:r>
      <w:r w:rsidR="00B977D5">
        <w:rPr>
          <w:rFonts w:ascii="Tahoma" w:hAnsi="Tahoma" w:cs="Tahoma"/>
        </w:rPr>
        <w:t>de son</w:t>
      </w:r>
      <w:r>
        <w:rPr>
          <w:rFonts w:ascii="Tahoma" w:hAnsi="Tahoma" w:cs="Tahoma"/>
        </w:rPr>
        <w:t xml:space="preserve"> nuage (SSA) pour venir chercher la borne basse (SSB) matérialisée par un plat sur 132.65.</w:t>
      </w:r>
    </w:p>
    <w:p w14:paraId="36FE3227" w14:textId="6351F387" w:rsidR="0058759E" w:rsidRDefault="0058759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nous avons en points clés sur le moyen terme 132.90 et 132.55 </w:t>
      </w:r>
      <w:r w:rsidR="00B977D5">
        <w:rPr>
          <w:rFonts w:ascii="Tahoma" w:hAnsi="Tahoma" w:cs="Tahoma"/>
        </w:rPr>
        <w:t>auxquels s’ajoutent</w:t>
      </w:r>
      <w:r>
        <w:rPr>
          <w:rFonts w:ascii="Tahoma" w:hAnsi="Tahoma" w:cs="Tahoma"/>
        </w:rPr>
        <w:t xml:space="preserve"> sur le court terme 132.65.</w:t>
      </w:r>
      <w:r w:rsidR="0090070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Cela donne une zone qui peut permettre un rebond du contrat Bund.</w:t>
      </w:r>
    </w:p>
    <w:p w14:paraId="67B8B186" w14:textId="255F77B3" w:rsidR="00467005" w:rsidRDefault="00B977D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</w:t>
      </w:r>
      <w:r w:rsidR="0058759E">
        <w:rPr>
          <w:rFonts w:ascii="Tahoma" w:hAnsi="Tahoma" w:cs="Tahoma"/>
        </w:rPr>
        <w:t xml:space="preserve"> doji s’est formé</w:t>
      </w:r>
      <w:r w:rsidRPr="00B977D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jeudi dernier (J-2)</w:t>
      </w:r>
      <w:r w:rsidR="0058759E">
        <w:rPr>
          <w:rFonts w:ascii="Tahoma" w:hAnsi="Tahoma" w:cs="Tahoma"/>
        </w:rPr>
        <w:t xml:space="preserve"> à l’approche du plat de SSB de 132.65. </w:t>
      </w:r>
      <w:r>
        <w:rPr>
          <w:rFonts w:ascii="Tahoma" w:hAnsi="Tahoma" w:cs="Tahoma"/>
        </w:rPr>
        <w:t>Il</w:t>
      </w:r>
      <w:r w:rsidR="0058759E">
        <w:rPr>
          <w:rFonts w:ascii="Tahoma" w:hAnsi="Tahoma" w:cs="Tahoma"/>
        </w:rPr>
        <w:t xml:space="preserve"> montre </w:t>
      </w:r>
      <w:r w:rsidR="0013473F">
        <w:rPr>
          <w:rFonts w:ascii="Tahoma" w:hAnsi="Tahoma" w:cs="Tahoma"/>
        </w:rPr>
        <w:t xml:space="preserve">l’arrivée d’acheteurs sur ce </w:t>
      </w:r>
      <w:r>
        <w:rPr>
          <w:rFonts w:ascii="Tahoma" w:hAnsi="Tahoma" w:cs="Tahoma"/>
        </w:rPr>
        <w:t>plat</w:t>
      </w:r>
      <w:r w:rsidR="0013473F">
        <w:rPr>
          <w:rFonts w:ascii="Tahoma" w:hAnsi="Tahoma" w:cs="Tahoma"/>
        </w:rPr>
        <w:t xml:space="preserve">. Après plusieurs séances de baisse ces derniers ont trouvé le niveau des prix opportun. Le </w:t>
      </w:r>
      <w:r>
        <w:rPr>
          <w:rFonts w:ascii="Tahoma" w:hAnsi="Tahoma" w:cs="Tahoma"/>
        </w:rPr>
        <w:t xml:space="preserve">retournement du </w:t>
      </w:r>
      <w:r w:rsidR="0013473F">
        <w:rPr>
          <w:rFonts w:ascii="Tahoma" w:hAnsi="Tahoma" w:cs="Tahoma"/>
        </w:rPr>
        <w:t>stochastique en zone de survente donne plus de poids à cette bougie. Pour autant, les acheteurs restent minoritaires</w:t>
      </w:r>
      <w:r w:rsidR="00DF6F53">
        <w:rPr>
          <w:rFonts w:ascii="Tahoma" w:hAnsi="Tahoma" w:cs="Tahoma"/>
        </w:rPr>
        <w:t xml:space="preserve"> et manquent </w:t>
      </w:r>
      <w:r>
        <w:rPr>
          <w:rFonts w:ascii="Tahoma" w:hAnsi="Tahoma" w:cs="Tahoma"/>
        </w:rPr>
        <w:t xml:space="preserve">pour l’instant </w:t>
      </w:r>
      <w:r w:rsidR="00DF6F53">
        <w:rPr>
          <w:rFonts w:ascii="Tahoma" w:hAnsi="Tahoma" w:cs="Tahoma"/>
        </w:rPr>
        <w:t>de puissance</w:t>
      </w:r>
      <w:r>
        <w:rPr>
          <w:rFonts w:ascii="Tahoma" w:hAnsi="Tahoma" w:cs="Tahoma"/>
        </w:rPr>
        <w:t>.</w:t>
      </w:r>
      <w:r w:rsidR="0013473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M</w:t>
      </w:r>
      <w:r w:rsidR="0013473F">
        <w:rPr>
          <w:rFonts w:ascii="Tahoma" w:hAnsi="Tahoma" w:cs="Tahoma"/>
        </w:rPr>
        <w:t xml:space="preserve">ais à partir de maintenant un maintien des cours </w:t>
      </w:r>
      <w:r w:rsidR="000C5156">
        <w:rPr>
          <w:rFonts w:ascii="Tahoma" w:hAnsi="Tahoma" w:cs="Tahoma"/>
        </w:rPr>
        <w:t>au-dessus</w:t>
      </w:r>
      <w:r w:rsidR="0013473F">
        <w:rPr>
          <w:rFonts w:ascii="Tahoma" w:hAnsi="Tahoma" w:cs="Tahoma"/>
        </w:rPr>
        <w:t xml:space="preserve"> du plat de SSB de 132.65 incitera les vendeurs à </w:t>
      </w:r>
      <w:r w:rsidR="000C5156">
        <w:rPr>
          <w:rFonts w:ascii="Tahoma" w:hAnsi="Tahoma" w:cs="Tahoma"/>
        </w:rPr>
        <w:t>réfléchir</w:t>
      </w:r>
      <w:r w:rsidR="00DF6F53">
        <w:rPr>
          <w:rFonts w:ascii="Tahoma" w:hAnsi="Tahoma" w:cs="Tahoma"/>
        </w:rPr>
        <w:t xml:space="preserve"> et à </w:t>
      </w:r>
      <w:r w:rsidR="0013473F">
        <w:rPr>
          <w:rFonts w:ascii="Tahoma" w:hAnsi="Tahoma" w:cs="Tahoma"/>
        </w:rPr>
        <w:t>sortir de leurs positions shorts pour réaliser leurs gains.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77822568" w:rsidR="00B94D71" w:rsidRDefault="00B94D71" w:rsidP="00B94D71">
      <w:pPr>
        <w:jc w:val="both"/>
        <w:rPr>
          <w:rFonts w:ascii="Tahoma" w:hAnsi="Tahoma" w:cs="Tahoma"/>
        </w:rPr>
      </w:pPr>
      <w:r w:rsidRPr="006C2051">
        <w:rPr>
          <w:rFonts w:ascii="Tahoma" w:hAnsi="Tahoma" w:cs="Tahoma"/>
          <w:b/>
          <w:bCs/>
          <w:u w:val="single"/>
        </w:rPr>
        <w:t>CONCLUSION</w:t>
      </w:r>
      <w:r>
        <w:rPr>
          <w:rFonts w:ascii="Tahoma" w:hAnsi="Tahoma" w:cs="Tahoma"/>
        </w:rPr>
        <w:t> :</w:t>
      </w:r>
      <w:r w:rsidR="00556FF1">
        <w:rPr>
          <w:rFonts w:ascii="Tahoma" w:hAnsi="Tahoma" w:cs="Tahoma"/>
        </w:rPr>
        <w:t xml:space="preserve"> </w:t>
      </w:r>
      <w:r w:rsidR="00BF0E85">
        <w:rPr>
          <w:rFonts w:ascii="Tahoma" w:hAnsi="Tahoma" w:cs="Tahoma"/>
        </w:rPr>
        <w:t>R</w:t>
      </w:r>
      <w:r w:rsidR="00556FF1">
        <w:rPr>
          <w:rFonts w:ascii="Tahoma" w:hAnsi="Tahoma" w:cs="Tahoma"/>
        </w:rPr>
        <w:t xml:space="preserve">ebond potentiel en tenue des prix </w:t>
      </w:r>
      <w:r w:rsidR="000C5156">
        <w:rPr>
          <w:rFonts w:ascii="Tahoma" w:hAnsi="Tahoma" w:cs="Tahoma"/>
        </w:rPr>
        <w:t>au-dessus</w:t>
      </w:r>
      <w:r w:rsidR="00556FF1">
        <w:rPr>
          <w:rFonts w:ascii="Tahoma" w:hAnsi="Tahoma" w:cs="Tahoma"/>
        </w:rPr>
        <w:t xml:space="preserve"> de 132.65. </w:t>
      </w:r>
      <w:r w:rsidR="003A2B5A">
        <w:rPr>
          <w:rFonts w:ascii="Tahoma" w:hAnsi="Tahoma" w:cs="Tahoma"/>
        </w:rPr>
        <w:t xml:space="preserve">Il permettra </w:t>
      </w:r>
      <w:r w:rsidR="00015AB0">
        <w:rPr>
          <w:rFonts w:ascii="Tahoma" w:hAnsi="Tahoma" w:cs="Tahoma"/>
        </w:rPr>
        <w:t>de penser qu’un</w:t>
      </w:r>
      <w:r w:rsidR="003A2B5A">
        <w:rPr>
          <w:rFonts w:ascii="Tahoma" w:hAnsi="Tahoma" w:cs="Tahoma"/>
        </w:rPr>
        <w:t xml:space="preserve"> maintien des cours </w:t>
      </w:r>
      <w:r w:rsidR="000C5156">
        <w:rPr>
          <w:rFonts w:ascii="Tahoma" w:hAnsi="Tahoma" w:cs="Tahoma"/>
        </w:rPr>
        <w:t>au-dessus</w:t>
      </w:r>
      <w:r w:rsidR="003A2B5A">
        <w:rPr>
          <w:rFonts w:ascii="Tahoma" w:hAnsi="Tahoma" w:cs="Tahoma"/>
        </w:rPr>
        <w:t xml:space="preserve"> de 132.90 </w:t>
      </w:r>
      <w:r w:rsidR="00556FF1">
        <w:rPr>
          <w:rFonts w:ascii="Tahoma" w:hAnsi="Tahoma" w:cs="Tahoma"/>
        </w:rPr>
        <w:t>favoriser</w:t>
      </w:r>
      <w:r w:rsidR="00015AB0">
        <w:rPr>
          <w:rFonts w:ascii="Tahoma" w:hAnsi="Tahoma" w:cs="Tahoma"/>
        </w:rPr>
        <w:t>a</w:t>
      </w:r>
      <w:r w:rsidR="00556FF1">
        <w:rPr>
          <w:rFonts w:ascii="Tahoma" w:hAnsi="Tahoma" w:cs="Tahoma"/>
        </w:rPr>
        <w:t xml:space="preserve"> un retour de la hausse en direction de la borne haute de la zone de consolidation. 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15AB0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C5156"/>
    <w:rsid w:val="000D4ED3"/>
    <w:rsid w:val="001018AD"/>
    <w:rsid w:val="00103ED4"/>
    <w:rsid w:val="00105B4E"/>
    <w:rsid w:val="0013473F"/>
    <w:rsid w:val="00134AFA"/>
    <w:rsid w:val="00135766"/>
    <w:rsid w:val="0014687D"/>
    <w:rsid w:val="0015581D"/>
    <w:rsid w:val="00163C46"/>
    <w:rsid w:val="001705F4"/>
    <w:rsid w:val="001850C3"/>
    <w:rsid w:val="00186A8D"/>
    <w:rsid w:val="00190995"/>
    <w:rsid w:val="001A4796"/>
    <w:rsid w:val="001D474B"/>
    <w:rsid w:val="001D7E47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A2B5A"/>
    <w:rsid w:val="0040171B"/>
    <w:rsid w:val="00467005"/>
    <w:rsid w:val="004A2D2D"/>
    <w:rsid w:val="004A5154"/>
    <w:rsid w:val="004F48EE"/>
    <w:rsid w:val="00525527"/>
    <w:rsid w:val="00531928"/>
    <w:rsid w:val="005440A4"/>
    <w:rsid w:val="00546A5A"/>
    <w:rsid w:val="00556FF1"/>
    <w:rsid w:val="00566580"/>
    <w:rsid w:val="00567AF3"/>
    <w:rsid w:val="00583BC8"/>
    <w:rsid w:val="0058759E"/>
    <w:rsid w:val="00654380"/>
    <w:rsid w:val="00664BE1"/>
    <w:rsid w:val="006B055C"/>
    <w:rsid w:val="006C2051"/>
    <w:rsid w:val="006C41DE"/>
    <w:rsid w:val="006E32BB"/>
    <w:rsid w:val="006E38E0"/>
    <w:rsid w:val="00710599"/>
    <w:rsid w:val="0071670E"/>
    <w:rsid w:val="00723F77"/>
    <w:rsid w:val="00744696"/>
    <w:rsid w:val="00772067"/>
    <w:rsid w:val="0077545D"/>
    <w:rsid w:val="007A0A4B"/>
    <w:rsid w:val="007A0E6C"/>
    <w:rsid w:val="007B1237"/>
    <w:rsid w:val="007B3C3D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070D"/>
    <w:rsid w:val="00902D2F"/>
    <w:rsid w:val="00961FDF"/>
    <w:rsid w:val="00983B7D"/>
    <w:rsid w:val="009A37C2"/>
    <w:rsid w:val="009F3AB8"/>
    <w:rsid w:val="00A11606"/>
    <w:rsid w:val="00A6401C"/>
    <w:rsid w:val="00A81AB7"/>
    <w:rsid w:val="00A832F5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977D5"/>
    <w:rsid w:val="00BB0E32"/>
    <w:rsid w:val="00BB6D9D"/>
    <w:rsid w:val="00BC77A5"/>
    <w:rsid w:val="00BD3FC1"/>
    <w:rsid w:val="00BF0E85"/>
    <w:rsid w:val="00C17ED7"/>
    <w:rsid w:val="00C41F15"/>
    <w:rsid w:val="00C70171"/>
    <w:rsid w:val="00C70A68"/>
    <w:rsid w:val="00C82E98"/>
    <w:rsid w:val="00C919E9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DF6F53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3</Pages>
  <Words>503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112</cp:revision>
  <dcterms:created xsi:type="dcterms:W3CDTF">2021-11-25T09:44:00Z</dcterms:created>
  <dcterms:modified xsi:type="dcterms:W3CDTF">2024-10-13T12:59:00Z</dcterms:modified>
</cp:coreProperties>
</file>