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205A65" w14:textId="77777777" w:rsidR="002C7D53" w:rsidRDefault="002C7D53" w:rsidP="00B41C02">
      <w:pPr>
        <w:jc w:val="both"/>
        <w:rPr>
          <w:rFonts w:ascii="Tahoma" w:hAnsi="Tahoma" w:cs="Tahoma"/>
        </w:rPr>
      </w:pPr>
    </w:p>
    <w:p w14:paraId="6D4B259A" w14:textId="77777777" w:rsidR="002C7D53" w:rsidRDefault="002C7D53" w:rsidP="00B41C02">
      <w:pPr>
        <w:jc w:val="both"/>
        <w:rPr>
          <w:rFonts w:ascii="Tahoma" w:hAnsi="Tahoma" w:cs="Tahoma"/>
        </w:rPr>
      </w:pPr>
    </w:p>
    <w:p w14:paraId="6094BF8A" w14:textId="2D388B77"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FA89D24" w:rsidR="00902D2F" w:rsidRDefault="007E7E3C" w:rsidP="00B41C02">
      <w:pPr>
        <w:jc w:val="both"/>
        <w:rPr>
          <w:rFonts w:ascii="Tahoma" w:hAnsi="Tahoma" w:cs="Tahoma"/>
        </w:rPr>
      </w:pPr>
      <w:r>
        <w:rPr>
          <w:noProof/>
        </w:rPr>
        <w:drawing>
          <wp:inline distT="0" distB="0" distL="0" distR="0" wp14:anchorId="735D8D16" wp14:editId="474C224E">
            <wp:extent cx="5760720" cy="4320540"/>
            <wp:effectExtent l="0" t="0" r="0" b="3810"/>
            <wp:docPr id="18931585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1FD23F60" w:rsidR="001705F4" w:rsidRDefault="00461F83" w:rsidP="00263ED0">
      <w:pPr>
        <w:jc w:val="both"/>
        <w:rPr>
          <w:rFonts w:ascii="Tahoma" w:hAnsi="Tahoma" w:cs="Tahoma"/>
        </w:rPr>
      </w:pPr>
      <w:r>
        <w:rPr>
          <w:rFonts w:ascii="Tahoma" w:hAnsi="Tahoma" w:cs="Tahoma"/>
        </w:rPr>
        <w:t xml:space="preserve">Même si les sommets depuis le début de l’année sont de moins en moins hauts, le contexte de moyen terme reste positif. </w:t>
      </w:r>
      <w:r w:rsidR="00251BEE">
        <w:rPr>
          <w:rFonts w:ascii="Tahoma" w:hAnsi="Tahoma" w:cs="Tahoma"/>
        </w:rPr>
        <w:t xml:space="preserve">La zone de résistance de 5100-5121 bloque l’indice sans pour autant inciter les investisseurs longs </w:t>
      </w:r>
      <w:r w:rsidR="002C7D53">
        <w:rPr>
          <w:rFonts w:ascii="Tahoma" w:hAnsi="Tahoma" w:cs="Tahoma"/>
        </w:rPr>
        <w:t xml:space="preserve">à </w:t>
      </w:r>
      <w:r w:rsidR="00251BEE">
        <w:rPr>
          <w:rFonts w:ascii="Tahoma" w:hAnsi="Tahoma" w:cs="Tahoma"/>
        </w:rPr>
        <w:t xml:space="preserve">inverser </w:t>
      </w:r>
      <w:r w:rsidR="007712CA">
        <w:rPr>
          <w:rFonts w:ascii="Tahoma" w:hAnsi="Tahoma" w:cs="Tahoma"/>
        </w:rPr>
        <w:t>leurs positions</w:t>
      </w:r>
      <w:r w:rsidR="00251BEE">
        <w:rPr>
          <w:rFonts w:ascii="Tahoma" w:hAnsi="Tahoma" w:cs="Tahoma"/>
        </w:rPr>
        <w:t xml:space="preserve"> sur un horizon de long terme. Comme je l’ai déjà </w:t>
      </w:r>
      <w:r w:rsidR="002C7D53">
        <w:rPr>
          <w:rFonts w:ascii="Tahoma" w:hAnsi="Tahoma" w:cs="Tahoma"/>
        </w:rPr>
        <w:t>expliqué</w:t>
      </w:r>
      <w:r w:rsidR="00251BEE">
        <w:rPr>
          <w:rFonts w:ascii="Tahoma" w:hAnsi="Tahoma" w:cs="Tahoma"/>
        </w:rPr>
        <w:t xml:space="preserve">, les ventes sont pour le moment limitées et permettent </w:t>
      </w:r>
      <w:r w:rsidR="007712CA">
        <w:rPr>
          <w:rFonts w:ascii="Tahoma" w:hAnsi="Tahoma" w:cs="Tahoma"/>
        </w:rPr>
        <w:t>aux intervenants</w:t>
      </w:r>
      <w:r w:rsidR="00251BEE">
        <w:rPr>
          <w:rFonts w:ascii="Tahoma" w:hAnsi="Tahoma" w:cs="Tahoma"/>
        </w:rPr>
        <w:t xml:space="preserve"> de se repositionner à l’achat à meilleur prix.</w:t>
      </w:r>
    </w:p>
    <w:p w14:paraId="058F73AC" w14:textId="398A5D60" w:rsidR="00251BEE" w:rsidRDefault="00251BEE" w:rsidP="00263ED0">
      <w:pPr>
        <w:jc w:val="both"/>
        <w:rPr>
          <w:rFonts w:ascii="Tahoma" w:hAnsi="Tahoma" w:cs="Tahoma"/>
        </w:rPr>
      </w:pPr>
      <w:r>
        <w:rPr>
          <w:rFonts w:ascii="Tahoma" w:hAnsi="Tahoma" w:cs="Tahoma"/>
        </w:rPr>
        <w:t>La TS et la KS plates confirme</w:t>
      </w:r>
      <w:r w:rsidR="00E01F89">
        <w:rPr>
          <w:rFonts w:ascii="Tahoma" w:hAnsi="Tahoma" w:cs="Tahoma"/>
        </w:rPr>
        <w:t>nt</w:t>
      </w:r>
      <w:r>
        <w:rPr>
          <w:rFonts w:ascii="Tahoma" w:hAnsi="Tahoma" w:cs="Tahoma"/>
        </w:rPr>
        <w:t xml:space="preserve"> l’absence de dynamique de mouvement </w:t>
      </w:r>
      <w:r w:rsidR="00E01F89">
        <w:rPr>
          <w:rFonts w:ascii="Tahoma" w:hAnsi="Tahoma" w:cs="Tahoma"/>
        </w:rPr>
        <w:t xml:space="preserve">dans un environnement </w:t>
      </w:r>
      <w:r>
        <w:rPr>
          <w:rFonts w:ascii="Tahoma" w:hAnsi="Tahoma" w:cs="Tahoma"/>
        </w:rPr>
        <w:t>haussier.</w:t>
      </w:r>
    </w:p>
    <w:p w14:paraId="4E80527D" w14:textId="31C062A8" w:rsidR="00251BEE" w:rsidRDefault="00251BEE" w:rsidP="00263ED0">
      <w:pPr>
        <w:jc w:val="both"/>
        <w:rPr>
          <w:rFonts w:ascii="Tahoma" w:hAnsi="Tahoma" w:cs="Tahoma"/>
        </w:rPr>
      </w:pPr>
      <w:r>
        <w:rPr>
          <w:rFonts w:ascii="Tahoma" w:hAnsi="Tahoma" w:cs="Tahoma"/>
        </w:rPr>
        <w:t xml:space="preserve">Dans </w:t>
      </w:r>
      <w:r w:rsidR="00E01F89">
        <w:rPr>
          <w:rFonts w:ascii="Tahoma" w:hAnsi="Tahoma" w:cs="Tahoma"/>
        </w:rPr>
        <w:t>ce contexte</w:t>
      </w:r>
      <w:r>
        <w:rPr>
          <w:rFonts w:ascii="Tahoma" w:hAnsi="Tahoma" w:cs="Tahoma"/>
        </w:rPr>
        <w:t>, il est plus opportun de chercher des supports lors d’éventuels replis. Le plat de KS de 4788 représente</w:t>
      </w:r>
      <w:r w:rsidR="00E01F89">
        <w:rPr>
          <w:rFonts w:ascii="Tahoma" w:hAnsi="Tahoma" w:cs="Tahoma"/>
        </w:rPr>
        <w:t>ra</w:t>
      </w:r>
      <w:r>
        <w:rPr>
          <w:rFonts w:ascii="Tahoma" w:hAnsi="Tahoma" w:cs="Tahoma"/>
        </w:rPr>
        <w:t xml:space="preserve"> le premier support exploitable. En cassure une baisse sur le plat de SSB de 4557 pourra être envisagée. </w:t>
      </w:r>
    </w:p>
    <w:p w14:paraId="374D1F17" w14:textId="24AE7426" w:rsidR="00583BC8" w:rsidRDefault="00583BC8" w:rsidP="00B41C02">
      <w:pPr>
        <w:jc w:val="both"/>
        <w:rPr>
          <w:rFonts w:ascii="Tahoma" w:hAnsi="Tahoma" w:cs="Tahoma"/>
        </w:rPr>
      </w:pPr>
    </w:p>
    <w:p w14:paraId="6F7EB5CC" w14:textId="77777777" w:rsidR="001250E3" w:rsidRDefault="001250E3"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28999410" w14:textId="07EA0284" w:rsidR="00583BC8" w:rsidRDefault="007E7E3C" w:rsidP="00B41C02">
      <w:pPr>
        <w:jc w:val="both"/>
        <w:rPr>
          <w:rFonts w:ascii="Tahoma" w:hAnsi="Tahoma" w:cs="Tahoma"/>
        </w:rPr>
      </w:pPr>
      <w:r>
        <w:rPr>
          <w:noProof/>
        </w:rPr>
        <w:drawing>
          <wp:inline distT="0" distB="0" distL="0" distR="0" wp14:anchorId="77F4160B" wp14:editId="42D34E10">
            <wp:extent cx="5760720" cy="4320540"/>
            <wp:effectExtent l="0" t="0" r="0" b="3810"/>
            <wp:docPr id="160562083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62C0EDF4" w:rsidR="00163C46" w:rsidRDefault="00352DD9" w:rsidP="00263ED0">
      <w:pPr>
        <w:jc w:val="both"/>
        <w:rPr>
          <w:rFonts w:ascii="Tahoma" w:hAnsi="Tahoma" w:cs="Tahoma"/>
        </w:rPr>
      </w:pPr>
      <w:r>
        <w:rPr>
          <w:rFonts w:ascii="Tahoma" w:hAnsi="Tahoma" w:cs="Tahoma"/>
        </w:rPr>
        <w:t>L</w:t>
      </w:r>
      <w:r w:rsidR="00251BEE">
        <w:rPr>
          <w:rFonts w:ascii="Tahoma" w:hAnsi="Tahoma" w:cs="Tahoma"/>
        </w:rPr>
        <w:t>’</w:t>
      </w:r>
      <w:r>
        <w:rPr>
          <w:rFonts w:ascii="Tahoma" w:hAnsi="Tahoma" w:cs="Tahoma"/>
        </w:rPr>
        <w:t>a</w:t>
      </w:r>
      <w:r w:rsidR="00251BEE">
        <w:rPr>
          <w:rFonts w:ascii="Tahoma" w:hAnsi="Tahoma" w:cs="Tahoma"/>
        </w:rPr>
        <w:t>bsence de dynamique de mouvement se traduit sur le court terme par le développement de plats de TS et de KS.</w:t>
      </w:r>
    </w:p>
    <w:p w14:paraId="1D37C7C6" w14:textId="6B1150B0" w:rsidR="00251BEE" w:rsidRDefault="00251BEE" w:rsidP="00263ED0">
      <w:pPr>
        <w:jc w:val="both"/>
        <w:rPr>
          <w:rFonts w:ascii="Tahoma" w:hAnsi="Tahoma" w:cs="Tahoma"/>
        </w:rPr>
      </w:pPr>
      <w:r>
        <w:rPr>
          <w:rFonts w:ascii="Tahoma" w:hAnsi="Tahoma" w:cs="Tahoma"/>
        </w:rPr>
        <w:t>En l’absence de volonté haussière ou baissière, le marché évolue dans sa zone d’équilibre matérialisé</w:t>
      </w:r>
      <w:r w:rsidR="001250E3">
        <w:rPr>
          <w:rFonts w:ascii="Tahoma" w:hAnsi="Tahoma" w:cs="Tahoma"/>
        </w:rPr>
        <w:t>e</w:t>
      </w:r>
      <w:r>
        <w:rPr>
          <w:rFonts w:ascii="Tahoma" w:hAnsi="Tahoma" w:cs="Tahoma"/>
        </w:rPr>
        <w:t xml:space="preserve"> par son nuage dont le plat de SSB de 4772 sera un bon support.</w:t>
      </w:r>
    </w:p>
    <w:p w14:paraId="3A5E71E1" w14:textId="215592C4" w:rsidR="00251BEE" w:rsidRDefault="00251BEE" w:rsidP="00263ED0">
      <w:pPr>
        <w:jc w:val="both"/>
        <w:rPr>
          <w:rFonts w:ascii="Tahoma" w:hAnsi="Tahoma" w:cs="Tahoma"/>
        </w:rPr>
      </w:pPr>
      <w:r>
        <w:rPr>
          <w:rFonts w:ascii="Tahoma" w:hAnsi="Tahoma" w:cs="Tahoma"/>
        </w:rPr>
        <w:t xml:space="preserve">L’analyse en chandelles donne pour ces trois derniers jours une structure assez rare en sandwich. Elle traduit un épuisement du courant baissier. Malgré la couleur noire dominante au sein de cette formation, elle peut inciter les baissiers qui ont assisté à un rebond des prix jeudi, à revoir leurs positions si la hausse reprend </w:t>
      </w:r>
      <w:r w:rsidR="001250E3">
        <w:rPr>
          <w:rFonts w:ascii="Tahoma" w:hAnsi="Tahoma" w:cs="Tahoma"/>
        </w:rPr>
        <w:t>la semaine prochaine</w:t>
      </w:r>
      <w:r>
        <w:rPr>
          <w:rFonts w:ascii="Tahoma" w:hAnsi="Tahoma" w:cs="Tahoma"/>
        </w:rPr>
        <w:t>.</w:t>
      </w:r>
    </w:p>
    <w:p w14:paraId="67B8B186" w14:textId="64FE3953" w:rsidR="00467005" w:rsidRDefault="00012016" w:rsidP="00041E45">
      <w:pPr>
        <w:jc w:val="both"/>
        <w:rPr>
          <w:rFonts w:ascii="Tahoma" w:hAnsi="Tahoma" w:cs="Tahoma"/>
        </w:rPr>
      </w:pPr>
      <w:r>
        <w:rPr>
          <w:rFonts w:ascii="Tahoma" w:hAnsi="Tahoma" w:cs="Tahoma"/>
        </w:rPr>
        <w:t xml:space="preserve">Les indicateurs techniques en zone de survente et </w:t>
      </w:r>
      <w:r w:rsidR="001250E3">
        <w:rPr>
          <w:rFonts w:ascii="Tahoma" w:hAnsi="Tahoma" w:cs="Tahoma"/>
        </w:rPr>
        <w:t>l’</w:t>
      </w:r>
      <w:r>
        <w:rPr>
          <w:rFonts w:ascii="Tahoma" w:hAnsi="Tahoma" w:cs="Tahoma"/>
        </w:rPr>
        <w:t>affaiblissement du mouvement baissier permet</w:t>
      </w:r>
      <w:r w:rsidR="001250E3">
        <w:rPr>
          <w:rFonts w:ascii="Tahoma" w:hAnsi="Tahoma" w:cs="Tahoma"/>
        </w:rPr>
        <w:t>tent</w:t>
      </w:r>
      <w:r>
        <w:rPr>
          <w:rFonts w:ascii="Tahoma" w:hAnsi="Tahoma" w:cs="Tahoma"/>
        </w:rPr>
        <w:t xml:space="preserve"> d’envisager un rebond du marché.</w:t>
      </w:r>
    </w:p>
    <w:p w14:paraId="10BB9766" w14:textId="77777777" w:rsidR="00723F77" w:rsidRDefault="00723F77" w:rsidP="00041E45">
      <w:pPr>
        <w:jc w:val="both"/>
        <w:rPr>
          <w:rFonts w:ascii="Tahoma" w:hAnsi="Tahoma" w:cs="Tahoma"/>
        </w:rPr>
      </w:pPr>
    </w:p>
    <w:p w14:paraId="655E9AC0" w14:textId="00717773"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6319F8">
        <w:rPr>
          <w:rFonts w:ascii="Tahoma" w:hAnsi="Tahoma" w:cs="Tahoma"/>
        </w:rPr>
        <w:t xml:space="preserve"> </w:t>
      </w:r>
      <w:r w:rsidR="001250E3">
        <w:rPr>
          <w:rFonts w:ascii="Tahoma" w:hAnsi="Tahoma" w:cs="Tahoma"/>
        </w:rPr>
        <w:t>Les prochaines séances devront nous</w:t>
      </w:r>
      <w:r w:rsidR="006319F8">
        <w:rPr>
          <w:rFonts w:ascii="Tahoma" w:hAnsi="Tahoma" w:cs="Tahoma"/>
        </w:rPr>
        <w:t xml:space="preserve"> confirmer l’épuisement de courant vendeur. Dans ce cas, retour de la hausse des prix en direction de la zone de résistance de 5100-5120.</w:t>
      </w:r>
    </w:p>
    <w:p w14:paraId="223D3869" w14:textId="77777777" w:rsidR="001250E3" w:rsidRDefault="001250E3" w:rsidP="00041E45">
      <w:pPr>
        <w:jc w:val="both"/>
        <w:rPr>
          <w:rFonts w:ascii="Tahoma" w:hAnsi="Tahoma" w:cs="Tahoma"/>
        </w:rPr>
      </w:pP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12016"/>
    <w:rsid w:val="00014616"/>
    <w:rsid w:val="0002580A"/>
    <w:rsid w:val="00041E45"/>
    <w:rsid w:val="000524C5"/>
    <w:rsid w:val="000556C3"/>
    <w:rsid w:val="000833FB"/>
    <w:rsid w:val="00092058"/>
    <w:rsid w:val="000B7DFC"/>
    <w:rsid w:val="000D4ED3"/>
    <w:rsid w:val="001018AD"/>
    <w:rsid w:val="00105B4E"/>
    <w:rsid w:val="001250E3"/>
    <w:rsid w:val="00134AFA"/>
    <w:rsid w:val="0014687D"/>
    <w:rsid w:val="0015581D"/>
    <w:rsid w:val="00163C46"/>
    <w:rsid w:val="001705F4"/>
    <w:rsid w:val="00190995"/>
    <w:rsid w:val="001D474B"/>
    <w:rsid w:val="001F650A"/>
    <w:rsid w:val="002003AD"/>
    <w:rsid w:val="002421FE"/>
    <w:rsid w:val="00251BEE"/>
    <w:rsid w:val="00262E25"/>
    <w:rsid w:val="00263ED0"/>
    <w:rsid w:val="002A1F8E"/>
    <w:rsid w:val="002B5CB1"/>
    <w:rsid w:val="002C0A31"/>
    <w:rsid w:val="002C7D53"/>
    <w:rsid w:val="002F54B0"/>
    <w:rsid w:val="0030643B"/>
    <w:rsid w:val="00337611"/>
    <w:rsid w:val="00340FD9"/>
    <w:rsid w:val="00352DD9"/>
    <w:rsid w:val="003C2E49"/>
    <w:rsid w:val="003C465D"/>
    <w:rsid w:val="0040171B"/>
    <w:rsid w:val="00404B55"/>
    <w:rsid w:val="00461F83"/>
    <w:rsid w:val="00467005"/>
    <w:rsid w:val="004A5154"/>
    <w:rsid w:val="00531928"/>
    <w:rsid w:val="005440A4"/>
    <w:rsid w:val="00546A5A"/>
    <w:rsid w:val="00566580"/>
    <w:rsid w:val="00567AF3"/>
    <w:rsid w:val="00583BC8"/>
    <w:rsid w:val="005C5220"/>
    <w:rsid w:val="006319F8"/>
    <w:rsid w:val="00654380"/>
    <w:rsid w:val="006E32BB"/>
    <w:rsid w:val="00723F77"/>
    <w:rsid w:val="00744696"/>
    <w:rsid w:val="007712CA"/>
    <w:rsid w:val="00772067"/>
    <w:rsid w:val="0077545D"/>
    <w:rsid w:val="007A0E6C"/>
    <w:rsid w:val="007B661D"/>
    <w:rsid w:val="007D19FF"/>
    <w:rsid w:val="007D2085"/>
    <w:rsid w:val="007E7E3C"/>
    <w:rsid w:val="0083454A"/>
    <w:rsid w:val="00835AC6"/>
    <w:rsid w:val="00837B38"/>
    <w:rsid w:val="00896554"/>
    <w:rsid w:val="008A7407"/>
    <w:rsid w:val="008F10C2"/>
    <w:rsid w:val="00902D2F"/>
    <w:rsid w:val="00961FDF"/>
    <w:rsid w:val="00983B7D"/>
    <w:rsid w:val="009A37C2"/>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34C63"/>
    <w:rsid w:val="00C41F15"/>
    <w:rsid w:val="00C70171"/>
    <w:rsid w:val="00C70A68"/>
    <w:rsid w:val="00C82E98"/>
    <w:rsid w:val="00CC7C21"/>
    <w:rsid w:val="00CE0886"/>
    <w:rsid w:val="00CF2516"/>
    <w:rsid w:val="00CF6D63"/>
    <w:rsid w:val="00D23B28"/>
    <w:rsid w:val="00D46C8D"/>
    <w:rsid w:val="00DE5444"/>
    <w:rsid w:val="00DF072F"/>
    <w:rsid w:val="00E01F89"/>
    <w:rsid w:val="00E32014"/>
    <w:rsid w:val="00EB58BA"/>
    <w:rsid w:val="00F04A6E"/>
    <w:rsid w:val="00F04DEF"/>
    <w:rsid w:val="00F31070"/>
    <w:rsid w:val="00F53F10"/>
    <w:rsid w:val="00F636F8"/>
    <w:rsid w:val="00F63CC7"/>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803</TotalTime>
  <Pages>3</Pages>
  <Words>409</Words>
  <Characters>2250</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85</cp:revision>
  <dcterms:created xsi:type="dcterms:W3CDTF">2021-11-25T09:44:00Z</dcterms:created>
  <dcterms:modified xsi:type="dcterms:W3CDTF">2024-11-10T11:20:00Z</dcterms:modified>
</cp:coreProperties>
</file>