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31E09DC" w:rsidR="00902D2F" w:rsidRDefault="00506D5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10F3268" wp14:editId="0C967F1B">
            <wp:extent cx="5760720" cy="4320540"/>
            <wp:effectExtent l="0" t="0" r="0" b="3810"/>
            <wp:docPr id="12166658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53A7D453" w:rsidR="00DF072F" w:rsidRDefault="00DA623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Poursuite de la baisse cette semaine avec un plus bas situé sur 130.58, point relativement proche de l’objectif théorique du double top de 130.12</w:t>
      </w:r>
      <w:r w:rsidR="009330E1">
        <w:rPr>
          <w:rFonts w:ascii="Tahoma" w:hAnsi="Tahoma" w:cs="Tahoma"/>
        </w:rPr>
        <w:t>, évoqué la semaine dernière.</w:t>
      </w:r>
    </w:p>
    <w:p w14:paraId="7A840CC6" w14:textId="615FCBA5" w:rsidR="009330E1" w:rsidRDefault="009330E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la consolidation latérale n’est pas remise en question. Le passage des prix sous leur zone d’équilibre </w:t>
      </w:r>
      <w:r w:rsidR="00501004">
        <w:rPr>
          <w:rFonts w:ascii="Tahoma" w:hAnsi="Tahoma" w:cs="Tahoma"/>
        </w:rPr>
        <w:t>de 132.73 place le marché dans un environnement favorable à une poursuite de la baisse en direction du support de 127.85</w:t>
      </w:r>
      <w:r w:rsidR="00CB74CA">
        <w:rPr>
          <w:rFonts w:ascii="Tahoma" w:hAnsi="Tahoma" w:cs="Tahoma"/>
        </w:rPr>
        <w:t>.</w:t>
      </w:r>
      <w:r w:rsidR="00501004">
        <w:rPr>
          <w:rFonts w:ascii="Tahoma" w:hAnsi="Tahoma" w:cs="Tahoma"/>
        </w:rPr>
        <w:t xml:space="preserve"> </w:t>
      </w:r>
      <w:r w:rsidR="00CB74CA">
        <w:rPr>
          <w:rFonts w:ascii="Tahoma" w:hAnsi="Tahoma" w:cs="Tahoma"/>
        </w:rPr>
        <w:t>M</w:t>
      </w:r>
      <w:r w:rsidR="00501004">
        <w:rPr>
          <w:rFonts w:ascii="Tahoma" w:hAnsi="Tahoma" w:cs="Tahoma"/>
        </w:rPr>
        <w:t xml:space="preserve">ais </w:t>
      </w:r>
      <w:r w:rsidR="00CB74CA">
        <w:rPr>
          <w:rFonts w:ascii="Tahoma" w:hAnsi="Tahoma" w:cs="Tahoma"/>
        </w:rPr>
        <w:t xml:space="preserve">le fait de revenir sous le point d’équilibre n’implique pas une poursuite de la baisse sur le support. L’action des prix la favorise et donne un </w:t>
      </w:r>
      <w:r w:rsidR="005628E7">
        <w:rPr>
          <w:rFonts w:ascii="Tahoma" w:hAnsi="Tahoma" w:cs="Tahoma"/>
        </w:rPr>
        <w:t>léger</w:t>
      </w:r>
      <w:r w:rsidR="00CB74CA">
        <w:rPr>
          <w:rFonts w:ascii="Tahoma" w:hAnsi="Tahoma" w:cs="Tahoma"/>
        </w:rPr>
        <w:t xml:space="preserve"> avantage à la baisse mais rien n’</w:t>
      </w:r>
      <w:r w:rsidR="005628E7">
        <w:rPr>
          <w:rFonts w:ascii="Tahoma" w:hAnsi="Tahoma" w:cs="Tahoma"/>
        </w:rPr>
        <w:t>empêchera</w:t>
      </w:r>
      <w:r w:rsidR="00CB74CA">
        <w:rPr>
          <w:rFonts w:ascii="Tahoma" w:hAnsi="Tahoma" w:cs="Tahoma"/>
        </w:rPr>
        <w:t xml:space="preserve"> le Bund de revenir s’établir </w:t>
      </w:r>
      <w:r w:rsidR="005628E7">
        <w:rPr>
          <w:rFonts w:ascii="Tahoma" w:hAnsi="Tahoma" w:cs="Tahoma"/>
        </w:rPr>
        <w:t>au-dessus</w:t>
      </w:r>
      <w:r w:rsidR="00CB74CA">
        <w:rPr>
          <w:rFonts w:ascii="Tahoma" w:hAnsi="Tahoma" w:cs="Tahoma"/>
        </w:rPr>
        <w:t xml:space="preserve"> de 132.73 sans être revenu sur 127.85.</w:t>
      </w:r>
    </w:p>
    <w:p w14:paraId="050B2ADD" w14:textId="0182ECB6" w:rsidR="00391944" w:rsidRDefault="00585E3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Harami de type marteau </w:t>
      </w:r>
      <w:r w:rsidR="00572A3D">
        <w:rPr>
          <w:rFonts w:ascii="Tahoma" w:hAnsi="Tahoma" w:cs="Tahoma"/>
        </w:rPr>
        <w:t>offre</w:t>
      </w:r>
      <w:r>
        <w:rPr>
          <w:rFonts w:ascii="Tahoma" w:hAnsi="Tahoma" w:cs="Tahoma"/>
        </w:rPr>
        <w:t xml:space="preserve"> une possibilité </w:t>
      </w:r>
      <w:r w:rsidR="00572A3D">
        <w:rPr>
          <w:rFonts w:ascii="Tahoma" w:hAnsi="Tahoma" w:cs="Tahoma"/>
        </w:rPr>
        <w:t xml:space="preserve">de rebond </w:t>
      </w:r>
      <w:r>
        <w:rPr>
          <w:rFonts w:ascii="Tahoma" w:hAnsi="Tahoma" w:cs="Tahoma"/>
        </w:rPr>
        <w:t>au marché. D’une part l’ouverture de la dernière bougie</w:t>
      </w:r>
      <w:r w:rsidR="00572A3D">
        <w:rPr>
          <w:rFonts w:ascii="Tahoma" w:hAnsi="Tahoma" w:cs="Tahoma"/>
        </w:rPr>
        <w:t xml:space="preserve">, en hausse par rapport à la </w:t>
      </w:r>
      <w:r w:rsidR="005628E7">
        <w:rPr>
          <w:rFonts w:ascii="Tahoma" w:hAnsi="Tahoma" w:cs="Tahoma"/>
        </w:rPr>
        <w:t>clôture</w:t>
      </w:r>
      <w:r w:rsidR="00572A3D">
        <w:rPr>
          <w:rFonts w:ascii="Tahoma" w:hAnsi="Tahoma" w:cs="Tahoma"/>
        </w:rPr>
        <w:t xml:space="preserve"> </w:t>
      </w:r>
      <w:r w:rsidR="005F5E1D">
        <w:rPr>
          <w:rFonts w:ascii="Tahoma" w:hAnsi="Tahoma" w:cs="Tahoma"/>
        </w:rPr>
        <w:t xml:space="preserve">de la semaine </w:t>
      </w:r>
      <w:r w:rsidR="00572A3D">
        <w:rPr>
          <w:rFonts w:ascii="Tahoma" w:hAnsi="Tahoma" w:cs="Tahoma"/>
        </w:rPr>
        <w:t xml:space="preserve">précédente, </w:t>
      </w:r>
      <w:r>
        <w:rPr>
          <w:rFonts w:ascii="Tahoma" w:hAnsi="Tahoma" w:cs="Tahoma"/>
        </w:rPr>
        <w:t xml:space="preserve">nous montre que les acheteurs </w:t>
      </w:r>
      <w:r w:rsidR="005F5E1D">
        <w:rPr>
          <w:rFonts w:ascii="Tahoma" w:hAnsi="Tahoma" w:cs="Tahoma"/>
        </w:rPr>
        <w:t xml:space="preserve">ont été actifs </w:t>
      </w:r>
      <w:r w:rsidR="00380A62">
        <w:rPr>
          <w:rFonts w:ascii="Tahoma" w:hAnsi="Tahoma" w:cs="Tahoma"/>
        </w:rPr>
        <w:t>dès</w:t>
      </w:r>
      <w:r w:rsidR="005F5E1D">
        <w:rPr>
          <w:rFonts w:ascii="Tahoma" w:hAnsi="Tahoma" w:cs="Tahoma"/>
        </w:rPr>
        <w:t xml:space="preserve"> le début de la semaine</w:t>
      </w:r>
      <w:r>
        <w:rPr>
          <w:rFonts w:ascii="Tahoma" w:hAnsi="Tahoma" w:cs="Tahoma"/>
        </w:rPr>
        <w:t xml:space="preserve">. D’autre part, la mèche basse du marteau nous indique que </w:t>
      </w:r>
      <w:r w:rsidR="00572A3D">
        <w:rPr>
          <w:rFonts w:ascii="Tahoma" w:hAnsi="Tahoma" w:cs="Tahoma"/>
        </w:rPr>
        <w:t>ces acheteurs ne se s</w:t>
      </w:r>
      <w:r>
        <w:rPr>
          <w:rFonts w:ascii="Tahoma" w:hAnsi="Tahoma" w:cs="Tahoma"/>
        </w:rPr>
        <w:t xml:space="preserve">ont </w:t>
      </w:r>
      <w:r w:rsidR="00572A3D">
        <w:rPr>
          <w:rFonts w:ascii="Tahoma" w:hAnsi="Tahoma" w:cs="Tahoma"/>
        </w:rPr>
        <w:t>laissé</w:t>
      </w:r>
      <w:r w:rsidR="005F5E1D">
        <w:rPr>
          <w:rFonts w:ascii="Tahoma" w:hAnsi="Tahoma" w:cs="Tahoma"/>
        </w:rPr>
        <w:t>s</w:t>
      </w:r>
      <w:r w:rsidR="00572A3D">
        <w:rPr>
          <w:rFonts w:ascii="Tahoma" w:hAnsi="Tahoma" w:cs="Tahoma"/>
        </w:rPr>
        <w:t xml:space="preserve"> impressionner par le mouvement de vente </w:t>
      </w:r>
      <w:r w:rsidR="005F5E1D">
        <w:rPr>
          <w:rFonts w:ascii="Tahoma" w:hAnsi="Tahoma" w:cs="Tahoma"/>
        </w:rPr>
        <w:t>au cours de cette</w:t>
      </w:r>
      <w:r w:rsidR="00391944">
        <w:rPr>
          <w:rFonts w:ascii="Tahoma" w:hAnsi="Tahoma" w:cs="Tahoma"/>
        </w:rPr>
        <w:t xml:space="preserve"> </w:t>
      </w:r>
      <w:r w:rsidR="005F5E1D">
        <w:rPr>
          <w:rFonts w:ascii="Tahoma" w:hAnsi="Tahoma" w:cs="Tahoma"/>
        </w:rPr>
        <w:t>période</w:t>
      </w:r>
      <w:r w:rsidR="00391944">
        <w:rPr>
          <w:rFonts w:ascii="Tahoma" w:hAnsi="Tahoma" w:cs="Tahoma"/>
        </w:rPr>
        <w:t>.</w:t>
      </w:r>
    </w:p>
    <w:p w14:paraId="170F34F1" w14:textId="16BFC149" w:rsidR="00391944" w:rsidRDefault="00A93FE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Ces deux actions positives </w:t>
      </w:r>
      <w:r w:rsidR="005F5E1D">
        <w:rPr>
          <w:rFonts w:ascii="Tahoma" w:hAnsi="Tahoma" w:cs="Tahoma"/>
        </w:rPr>
        <w:t>s’inscrivent</w:t>
      </w:r>
      <w:r>
        <w:rPr>
          <w:rFonts w:ascii="Tahoma" w:hAnsi="Tahoma" w:cs="Tahoma"/>
        </w:rPr>
        <w:t xml:space="preserve"> au sein de la dérive latérale </w:t>
      </w:r>
      <w:r w:rsidR="00A37962">
        <w:rPr>
          <w:rFonts w:ascii="Tahoma" w:hAnsi="Tahoma" w:cs="Tahoma"/>
        </w:rPr>
        <w:t xml:space="preserve">et un retour des prix </w:t>
      </w:r>
      <w:r w:rsidR="005628E7">
        <w:rPr>
          <w:rFonts w:ascii="Tahoma" w:hAnsi="Tahoma" w:cs="Tahoma"/>
        </w:rPr>
        <w:t>au-dessus</w:t>
      </w:r>
      <w:r w:rsidR="00A37962">
        <w:rPr>
          <w:rFonts w:ascii="Tahoma" w:hAnsi="Tahoma" w:cs="Tahoma"/>
        </w:rPr>
        <w:t xml:space="preserve"> de 132.73 est maintenant envisageable. </w:t>
      </w:r>
    </w:p>
    <w:p w14:paraId="53AA9186" w14:textId="0F6E5713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4DD81539" w:rsidR="00583BC8" w:rsidRDefault="00506D5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2740C35" wp14:editId="5DAB9F2A">
            <wp:extent cx="5760720" cy="4084320"/>
            <wp:effectExtent l="0" t="0" r="0" b="0"/>
            <wp:docPr id="55142935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28EF68EE" w:rsidR="00467005" w:rsidRDefault="004750F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personnalité d’une bougie est fonction des bougies qui la compose</w:t>
      </w:r>
      <w:r w:rsidR="005F5E1D">
        <w:rPr>
          <w:rFonts w:ascii="Tahoma" w:hAnsi="Tahoma" w:cs="Tahoma"/>
        </w:rPr>
        <w:t xml:space="preserve"> (voir chandelle hebdomadaire)</w:t>
      </w:r>
      <w:r>
        <w:rPr>
          <w:rFonts w:ascii="Tahoma" w:hAnsi="Tahoma" w:cs="Tahoma"/>
        </w:rPr>
        <w:t xml:space="preserve">. </w:t>
      </w:r>
      <w:r w:rsidR="006F14BB">
        <w:rPr>
          <w:rFonts w:ascii="Tahoma" w:hAnsi="Tahoma" w:cs="Tahoma"/>
        </w:rPr>
        <w:t>Après six séances d’incertitudes marquée</w:t>
      </w:r>
      <w:r w:rsidR="005F5E1D">
        <w:rPr>
          <w:rFonts w:ascii="Tahoma" w:hAnsi="Tahoma" w:cs="Tahoma"/>
        </w:rPr>
        <w:t>s</w:t>
      </w:r>
      <w:r w:rsidR="006F14BB">
        <w:rPr>
          <w:rFonts w:ascii="Tahoma" w:hAnsi="Tahoma" w:cs="Tahoma"/>
        </w:rPr>
        <w:t xml:space="preserve"> par un refus de prolongé la baisse </w:t>
      </w:r>
      <w:r w:rsidR="00AE024D">
        <w:rPr>
          <w:rFonts w:ascii="Tahoma" w:hAnsi="Tahoma" w:cs="Tahoma"/>
        </w:rPr>
        <w:t>qui a débuté en octobre, la dernière bougie montre l’arrivée d’acheteurs.</w:t>
      </w:r>
    </w:p>
    <w:p w14:paraId="653A3905" w14:textId="1AEC88C2" w:rsidR="00AE024D" w:rsidRDefault="00AE024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je le soulignais la semaine dernière, le contexte de court terme est baissier. Cours et LS évoluent sous leur nuage. SSA et SSB sont orientés à la baisse. Sur cette unité de temps, la SSB devrait s’aplatir un certain temps sur 133.40. Elle renforcera le point mensuel </w:t>
      </w:r>
      <w:r w:rsidR="005F5E1D">
        <w:rPr>
          <w:rFonts w:ascii="Tahoma" w:hAnsi="Tahoma" w:cs="Tahoma"/>
        </w:rPr>
        <w:t>qui</w:t>
      </w:r>
      <w:r>
        <w:rPr>
          <w:rFonts w:ascii="Tahoma" w:hAnsi="Tahoma" w:cs="Tahoma"/>
        </w:rPr>
        <w:t xml:space="preserve"> devient maintenant résistance.</w:t>
      </w:r>
    </w:p>
    <w:p w14:paraId="3C4599CF" w14:textId="243C0E40" w:rsidR="0059725D" w:rsidRDefault="0059725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L’arrivée d’acheteur ne permet pas encore de valider un retournement mais l’observation de certains indicateurs techniques liés à l’action des prix, laisse penser que la hausse de vendredi devrait se poursuivre. Ainsi les </w:t>
      </w:r>
      <w:r w:rsidR="000E29E9">
        <w:rPr>
          <w:rFonts w:ascii="Tahoma" w:hAnsi="Tahoma" w:cs="Tahoma"/>
        </w:rPr>
        <w:t xml:space="preserve">anciens </w:t>
      </w:r>
      <w:r>
        <w:rPr>
          <w:rFonts w:ascii="Tahoma" w:hAnsi="Tahoma" w:cs="Tahoma"/>
        </w:rPr>
        <w:t xml:space="preserve">vendeurs </w:t>
      </w:r>
      <w:r w:rsidR="000E29E9">
        <w:rPr>
          <w:rFonts w:ascii="Tahoma" w:hAnsi="Tahoma" w:cs="Tahoma"/>
        </w:rPr>
        <w:t xml:space="preserve">protégeront leurs gains en retour </w:t>
      </w:r>
      <w:r w:rsidR="00916BE2">
        <w:rPr>
          <w:rFonts w:ascii="Tahoma" w:hAnsi="Tahoma" w:cs="Tahoma"/>
        </w:rPr>
        <w:t xml:space="preserve">et maintien </w:t>
      </w:r>
      <w:r w:rsidR="000E29E9">
        <w:rPr>
          <w:rFonts w:ascii="Tahoma" w:hAnsi="Tahoma" w:cs="Tahoma"/>
        </w:rPr>
        <w:t xml:space="preserve">du marché </w:t>
      </w:r>
      <w:r w:rsidR="005628E7">
        <w:rPr>
          <w:rFonts w:ascii="Tahoma" w:hAnsi="Tahoma" w:cs="Tahoma"/>
        </w:rPr>
        <w:t>au-dessus</w:t>
      </w:r>
      <w:r w:rsidR="000E29E9">
        <w:rPr>
          <w:rFonts w:ascii="Tahoma" w:hAnsi="Tahoma" w:cs="Tahoma"/>
        </w:rPr>
        <w:t xml:space="preserve"> </w:t>
      </w:r>
      <w:r w:rsidR="00916BE2">
        <w:rPr>
          <w:rFonts w:ascii="Tahoma" w:hAnsi="Tahoma" w:cs="Tahoma"/>
        </w:rPr>
        <w:t>de 132.17,</w:t>
      </w:r>
      <w:r w:rsidR="006261A8">
        <w:rPr>
          <w:rFonts w:ascii="Tahoma" w:hAnsi="Tahoma" w:cs="Tahoma"/>
        </w:rPr>
        <w:t xml:space="preserve"> </w:t>
      </w:r>
      <w:r w:rsidR="000E29E9">
        <w:rPr>
          <w:rFonts w:ascii="Tahoma" w:hAnsi="Tahoma" w:cs="Tahoma"/>
        </w:rPr>
        <w:t>point médian du dernier long chandelier noir</w:t>
      </w:r>
      <w:r w:rsidR="00916BE2">
        <w:rPr>
          <w:rFonts w:ascii="Tahoma" w:hAnsi="Tahoma" w:cs="Tahoma"/>
        </w:rPr>
        <w:t>.</w:t>
      </w:r>
      <w:r w:rsidR="000E29E9">
        <w:rPr>
          <w:rFonts w:ascii="Tahoma" w:hAnsi="Tahoma" w:cs="Tahoma"/>
        </w:rPr>
        <w:t xml:space="preserve">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2EFB8358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261A8">
        <w:rPr>
          <w:rFonts w:ascii="Tahoma" w:hAnsi="Tahoma" w:cs="Tahoma"/>
        </w:rPr>
        <w:t xml:space="preserve"> </w:t>
      </w:r>
      <w:r w:rsidR="00916BE2">
        <w:rPr>
          <w:rFonts w:ascii="Tahoma" w:hAnsi="Tahoma" w:cs="Tahoma"/>
        </w:rPr>
        <w:t xml:space="preserve">Poursuite de la dérive latérale de moyen terme avec une probabilité non négligeable d’un retour des prix </w:t>
      </w:r>
      <w:r w:rsidR="005628E7">
        <w:rPr>
          <w:rFonts w:ascii="Tahoma" w:hAnsi="Tahoma" w:cs="Tahoma"/>
        </w:rPr>
        <w:t>au-dessus</w:t>
      </w:r>
      <w:r w:rsidR="00916BE2">
        <w:rPr>
          <w:rFonts w:ascii="Tahoma" w:hAnsi="Tahoma" w:cs="Tahoma"/>
        </w:rPr>
        <w:t xml:space="preserve"> du point d’équilibre de 132.72.</w:t>
      </w:r>
    </w:p>
    <w:p w14:paraId="2E975A96" w14:textId="1F75EA67" w:rsidR="00EE6B93" w:rsidRDefault="0064496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plus court terme, ce retour sera </w:t>
      </w:r>
      <w:r w:rsidR="00803708">
        <w:rPr>
          <w:rFonts w:ascii="Tahoma" w:hAnsi="Tahoma" w:cs="Tahoma"/>
        </w:rPr>
        <w:t>acté par le franchissement de 132.17.</w:t>
      </w:r>
    </w:p>
    <w:p w14:paraId="2A01D49E" w14:textId="77777777" w:rsidR="00380A62" w:rsidRDefault="00380A62" w:rsidP="00041E45">
      <w:pPr>
        <w:jc w:val="both"/>
        <w:rPr>
          <w:rFonts w:ascii="Tahoma" w:hAnsi="Tahoma" w:cs="Tahoma"/>
        </w:rPr>
      </w:pPr>
    </w:p>
    <w:p w14:paraId="79FDE006" w14:textId="77777777" w:rsidR="006261A8" w:rsidRDefault="006261A8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E29E9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014FA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80A62"/>
    <w:rsid w:val="00391944"/>
    <w:rsid w:val="00397D3D"/>
    <w:rsid w:val="003C465D"/>
    <w:rsid w:val="0040171B"/>
    <w:rsid w:val="00404B55"/>
    <w:rsid w:val="00467005"/>
    <w:rsid w:val="004750FC"/>
    <w:rsid w:val="004A2D2D"/>
    <w:rsid w:val="004A5154"/>
    <w:rsid w:val="004F48EE"/>
    <w:rsid w:val="00501004"/>
    <w:rsid w:val="00506D59"/>
    <w:rsid w:val="00531928"/>
    <w:rsid w:val="005440A4"/>
    <w:rsid w:val="00546A5A"/>
    <w:rsid w:val="005628E7"/>
    <w:rsid w:val="00566580"/>
    <w:rsid w:val="00567AF3"/>
    <w:rsid w:val="00572A3D"/>
    <w:rsid w:val="00583BC8"/>
    <w:rsid w:val="00585E35"/>
    <w:rsid w:val="0059725D"/>
    <w:rsid w:val="005F5E1D"/>
    <w:rsid w:val="006261A8"/>
    <w:rsid w:val="00644967"/>
    <w:rsid w:val="00654380"/>
    <w:rsid w:val="00664BE1"/>
    <w:rsid w:val="006B055C"/>
    <w:rsid w:val="006E32BB"/>
    <w:rsid w:val="006E38E0"/>
    <w:rsid w:val="006F14BB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03708"/>
    <w:rsid w:val="0083454A"/>
    <w:rsid w:val="00837B38"/>
    <w:rsid w:val="00896554"/>
    <w:rsid w:val="008A7407"/>
    <w:rsid w:val="008F10C2"/>
    <w:rsid w:val="00902D2F"/>
    <w:rsid w:val="00916BE2"/>
    <w:rsid w:val="009330E1"/>
    <w:rsid w:val="00961FDF"/>
    <w:rsid w:val="00983B7D"/>
    <w:rsid w:val="009A37C2"/>
    <w:rsid w:val="009F3AB8"/>
    <w:rsid w:val="00A11606"/>
    <w:rsid w:val="00A37962"/>
    <w:rsid w:val="00A6401C"/>
    <w:rsid w:val="00A81AB7"/>
    <w:rsid w:val="00A93FE5"/>
    <w:rsid w:val="00AA522C"/>
    <w:rsid w:val="00AE024D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34C63"/>
    <w:rsid w:val="00C41F15"/>
    <w:rsid w:val="00C70171"/>
    <w:rsid w:val="00C70A68"/>
    <w:rsid w:val="00C82E98"/>
    <w:rsid w:val="00CB17C9"/>
    <w:rsid w:val="00CB74CA"/>
    <w:rsid w:val="00CC72FF"/>
    <w:rsid w:val="00CC7C21"/>
    <w:rsid w:val="00CE0886"/>
    <w:rsid w:val="00CF2516"/>
    <w:rsid w:val="00CF6D63"/>
    <w:rsid w:val="00D23B28"/>
    <w:rsid w:val="00D46C8D"/>
    <w:rsid w:val="00DA1359"/>
    <w:rsid w:val="00DA623C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3</Pages>
  <Words>512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114</cp:revision>
  <dcterms:created xsi:type="dcterms:W3CDTF">2021-11-25T09:44:00Z</dcterms:created>
  <dcterms:modified xsi:type="dcterms:W3CDTF">2024-11-10T11:20:00Z</dcterms:modified>
</cp:coreProperties>
</file>