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705B2916" w:rsidR="00902D2F" w:rsidRDefault="002A7006" w:rsidP="00B41C02">
      <w:pPr>
        <w:jc w:val="both"/>
        <w:rPr>
          <w:rFonts w:ascii="Tahoma" w:hAnsi="Tahoma" w:cs="Tahoma"/>
        </w:rPr>
      </w:pPr>
      <w:r>
        <w:rPr>
          <w:noProof/>
        </w:rPr>
        <w:drawing>
          <wp:inline distT="0" distB="0" distL="0" distR="0" wp14:anchorId="176CEADA" wp14:editId="2C9BE5EA">
            <wp:extent cx="5760720" cy="4320540"/>
            <wp:effectExtent l="0" t="0" r="0" b="3810"/>
            <wp:docPr id="81510566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85822D0" w14:textId="77777777" w:rsidR="006E32BB" w:rsidRDefault="006E32BB" w:rsidP="00B41C02">
      <w:pPr>
        <w:jc w:val="both"/>
        <w:rPr>
          <w:rFonts w:ascii="Tahoma" w:hAnsi="Tahoma" w:cs="Tahoma"/>
        </w:rPr>
      </w:pPr>
    </w:p>
    <w:p w14:paraId="7AC4D2D2" w14:textId="395E5651" w:rsidR="00DF072F" w:rsidRDefault="00BB6D9D" w:rsidP="00B41C02">
      <w:pPr>
        <w:jc w:val="both"/>
        <w:rPr>
          <w:rFonts w:ascii="Tahoma" w:hAnsi="Tahoma" w:cs="Tahoma"/>
        </w:rPr>
      </w:pPr>
      <w:r>
        <w:rPr>
          <w:rFonts w:ascii="Tahoma" w:hAnsi="Tahoma" w:cs="Tahoma"/>
        </w:rPr>
        <w:t xml:space="preserve"> </w:t>
      </w:r>
      <w:r w:rsidR="00041E45">
        <w:rPr>
          <w:rFonts w:ascii="Tahoma" w:hAnsi="Tahoma" w:cs="Tahoma"/>
        </w:rPr>
        <w:t>L</w:t>
      </w:r>
      <w:r w:rsidR="00A21CD1">
        <w:rPr>
          <w:rFonts w:ascii="Tahoma" w:hAnsi="Tahoma" w:cs="Tahoma"/>
        </w:rPr>
        <w:t>es twists de nuage s’enchainent et le marché évolue toujours au sein d’un</w:t>
      </w:r>
      <w:r w:rsidR="00F72B03">
        <w:rPr>
          <w:rFonts w:ascii="Tahoma" w:hAnsi="Tahoma" w:cs="Tahoma"/>
        </w:rPr>
        <w:t>e</w:t>
      </w:r>
      <w:r w:rsidR="00A21CD1">
        <w:rPr>
          <w:rFonts w:ascii="Tahoma" w:hAnsi="Tahoma" w:cs="Tahoma"/>
        </w:rPr>
        <w:t xml:space="preserve"> consolidation cadrée par une résistance sur 137.</w:t>
      </w:r>
      <w:r w:rsidR="00D4322F">
        <w:rPr>
          <w:rFonts w:ascii="Tahoma" w:hAnsi="Tahoma" w:cs="Tahoma"/>
        </w:rPr>
        <w:t>80</w:t>
      </w:r>
      <w:r w:rsidR="00A21CD1">
        <w:rPr>
          <w:rFonts w:ascii="Tahoma" w:hAnsi="Tahoma" w:cs="Tahoma"/>
        </w:rPr>
        <w:t xml:space="preserve"> et un support à </w:t>
      </w:r>
      <w:r w:rsidR="00D4322F">
        <w:rPr>
          <w:rFonts w:ascii="Tahoma" w:hAnsi="Tahoma" w:cs="Tahoma"/>
        </w:rPr>
        <w:t>127.85</w:t>
      </w:r>
      <w:r w:rsidR="00A21CD1">
        <w:rPr>
          <w:rFonts w:ascii="Tahoma" w:hAnsi="Tahoma" w:cs="Tahoma"/>
        </w:rPr>
        <w:t>.</w:t>
      </w:r>
      <w:r w:rsidR="00D4322F">
        <w:rPr>
          <w:rFonts w:ascii="Tahoma" w:hAnsi="Tahoma" w:cs="Tahoma"/>
        </w:rPr>
        <w:t xml:space="preserve"> La zone d’équilibre est matérialisée par le plat de KS passé</w:t>
      </w:r>
      <w:r w:rsidR="00F72B03">
        <w:rPr>
          <w:rFonts w:ascii="Tahoma" w:hAnsi="Tahoma" w:cs="Tahoma"/>
        </w:rPr>
        <w:t>e</w:t>
      </w:r>
      <w:r w:rsidR="00D4322F">
        <w:rPr>
          <w:rFonts w:ascii="Tahoma" w:hAnsi="Tahoma" w:cs="Tahoma"/>
        </w:rPr>
        <w:t xml:space="preserve"> et le plat de SSB sur 132.73.</w:t>
      </w:r>
    </w:p>
    <w:p w14:paraId="3509F96F" w14:textId="44A548BA" w:rsidR="0080658F" w:rsidRDefault="008B06F4" w:rsidP="00B41C02">
      <w:pPr>
        <w:jc w:val="both"/>
        <w:rPr>
          <w:rFonts w:ascii="Tahoma" w:hAnsi="Tahoma" w:cs="Tahoma"/>
        </w:rPr>
      </w:pPr>
      <w:r>
        <w:rPr>
          <w:rFonts w:ascii="Tahoma" w:hAnsi="Tahoma" w:cs="Tahoma"/>
        </w:rPr>
        <w:t>Les  prix évoluent ces dernières semaines autour du point d’équilibre de 132.73. Le maintien du contrat sous ce point avantage le biais baissier. Ce dernier sera bien sur limité au planch</w:t>
      </w:r>
      <w:r w:rsidR="00F72B03">
        <w:rPr>
          <w:rFonts w:ascii="Tahoma" w:hAnsi="Tahoma" w:cs="Tahoma"/>
        </w:rPr>
        <w:t>er</w:t>
      </w:r>
      <w:r>
        <w:rPr>
          <w:rFonts w:ascii="Tahoma" w:hAnsi="Tahoma" w:cs="Tahoma"/>
        </w:rPr>
        <w:t xml:space="preserve"> de  la consolidation c’est-à-dire 127.85. Mais ce maintien ne permet pas d’</w:t>
      </w:r>
      <w:r w:rsidR="006E3BCE">
        <w:rPr>
          <w:rFonts w:ascii="Tahoma" w:hAnsi="Tahoma" w:cs="Tahoma"/>
        </w:rPr>
        <w:t>affirmer</w:t>
      </w:r>
      <w:r>
        <w:rPr>
          <w:rFonts w:ascii="Tahoma" w:hAnsi="Tahoma" w:cs="Tahoma"/>
        </w:rPr>
        <w:t xml:space="preserve"> que les prix testeront ce support. Comme je viens de le dire, un biais sera </w:t>
      </w:r>
      <w:r w:rsidR="00F72B03">
        <w:rPr>
          <w:rFonts w:ascii="Tahoma" w:hAnsi="Tahoma" w:cs="Tahoma"/>
        </w:rPr>
        <w:t xml:space="preserve">envisagé </w:t>
      </w:r>
      <w:r>
        <w:rPr>
          <w:rFonts w:ascii="Tahoma" w:hAnsi="Tahoma" w:cs="Tahoma"/>
        </w:rPr>
        <w:t xml:space="preserve">sous 132.73 </w:t>
      </w:r>
      <w:r w:rsidR="00F72B03">
        <w:rPr>
          <w:rFonts w:ascii="Tahoma" w:hAnsi="Tahoma" w:cs="Tahoma"/>
        </w:rPr>
        <w:t>mais</w:t>
      </w:r>
      <w:r>
        <w:rPr>
          <w:rFonts w:ascii="Tahoma" w:hAnsi="Tahoma" w:cs="Tahoma"/>
        </w:rPr>
        <w:t xml:space="preserve"> annulé si les prix se repositionnent </w:t>
      </w:r>
      <w:r w:rsidR="006E3BCE">
        <w:rPr>
          <w:rFonts w:ascii="Tahoma" w:hAnsi="Tahoma" w:cs="Tahoma"/>
        </w:rPr>
        <w:t>au-dessus</w:t>
      </w:r>
      <w:r>
        <w:rPr>
          <w:rFonts w:ascii="Tahoma" w:hAnsi="Tahoma" w:cs="Tahoma"/>
        </w:rPr>
        <w:t xml:space="preserve"> du point d’équilibre.</w:t>
      </w:r>
    </w:p>
    <w:p w14:paraId="2923AF60" w14:textId="3DC8A17D" w:rsidR="008B06F4" w:rsidRDefault="008B06F4" w:rsidP="00B41C02">
      <w:pPr>
        <w:jc w:val="both"/>
        <w:rPr>
          <w:rFonts w:ascii="Tahoma" w:hAnsi="Tahoma" w:cs="Tahoma"/>
        </w:rPr>
      </w:pPr>
      <w:r>
        <w:rPr>
          <w:rFonts w:ascii="Tahoma" w:hAnsi="Tahoma" w:cs="Tahoma"/>
        </w:rPr>
        <w:t>Sur les deux dernières semaines, nous avons des chandelles qui montrent tout d’abord un refus de la poursuite de la baisse puis par la suite une période d’incertitude quant à la poursuite de la hausse.</w:t>
      </w:r>
      <w:r w:rsidR="00D5424F">
        <w:rPr>
          <w:rFonts w:ascii="Tahoma" w:hAnsi="Tahoma" w:cs="Tahoma"/>
        </w:rPr>
        <w:t xml:space="preserve"> L’hésitation domine</w:t>
      </w:r>
      <w:r w:rsidR="002D370E">
        <w:rPr>
          <w:rFonts w:ascii="Tahoma" w:hAnsi="Tahoma" w:cs="Tahoma"/>
        </w:rPr>
        <w:t xml:space="preserve"> dans un contexte directionnel limité.</w:t>
      </w: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0F0F7A5E" w:rsidR="00583BC8" w:rsidRDefault="002A7006" w:rsidP="00B41C02">
      <w:pPr>
        <w:jc w:val="both"/>
        <w:rPr>
          <w:rFonts w:ascii="Tahoma" w:hAnsi="Tahoma" w:cs="Tahoma"/>
        </w:rPr>
      </w:pPr>
      <w:r>
        <w:rPr>
          <w:noProof/>
        </w:rPr>
        <w:lastRenderedPageBreak/>
        <w:drawing>
          <wp:inline distT="0" distB="0" distL="0" distR="0" wp14:anchorId="336855CE" wp14:editId="24029BA0">
            <wp:extent cx="5760720" cy="4320540"/>
            <wp:effectExtent l="0" t="0" r="0" b="3810"/>
            <wp:docPr id="21781939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10BA38C" w14:textId="73477E3E" w:rsidR="00163C46" w:rsidRDefault="00163C46" w:rsidP="00263ED0">
      <w:pPr>
        <w:jc w:val="both"/>
        <w:rPr>
          <w:rFonts w:ascii="Tahoma" w:hAnsi="Tahoma" w:cs="Tahoma"/>
        </w:rPr>
      </w:pPr>
    </w:p>
    <w:p w14:paraId="67B8B186" w14:textId="398FC98D" w:rsidR="00467005" w:rsidRDefault="002D370E" w:rsidP="00041E45">
      <w:pPr>
        <w:jc w:val="both"/>
        <w:rPr>
          <w:rFonts w:ascii="Tahoma" w:hAnsi="Tahoma" w:cs="Tahoma"/>
        </w:rPr>
      </w:pPr>
      <w:r>
        <w:rPr>
          <w:rFonts w:ascii="Tahoma" w:hAnsi="Tahoma" w:cs="Tahoma"/>
        </w:rPr>
        <w:t>Le court terme évolue dans un environnement baissier</w:t>
      </w:r>
      <w:r w:rsidR="00FB3B60">
        <w:rPr>
          <w:rFonts w:ascii="Tahoma" w:hAnsi="Tahoma" w:cs="Tahoma"/>
        </w:rPr>
        <w:t xml:space="preserve"> et donne plus de poids au biais baissier de moyen terme sous 132.73.</w:t>
      </w:r>
    </w:p>
    <w:p w14:paraId="4E21E374" w14:textId="05D65F1F" w:rsidR="00FB3B60" w:rsidRDefault="00FB3B60" w:rsidP="00041E45">
      <w:pPr>
        <w:jc w:val="both"/>
        <w:rPr>
          <w:rFonts w:ascii="Tahoma" w:hAnsi="Tahoma" w:cs="Tahoma"/>
        </w:rPr>
      </w:pPr>
      <w:r>
        <w:rPr>
          <w:rFonts w:ascii="Tahoma" w:hAnsi="Tahoma" w:cs="Tahoma"/>
        </w:rPr>
        <w:t xml:space="preserve">Sur cette unité de temps, le plat de KS de 132.41 devrait se poursuivre et servir de résistance à la hausse. Face à ce point, la LS vient de trace </w:t>
      </w:r>
      <w:r w:rsidR="0095424D">
        <w:rPr>
          <w:rFonts w:ascii="Tahoma" w:hAnsi="Tahoma" w:cs="Tahoma"/>
        </w:rPr>
        <w:t>un</w:t>
      </w:r>
      <w:r>
        <w:rPr>
          <w:rFonts w:ascii="Tahoma" w:hAnsi="Tahoma" w:cs="Tahoma"/>
        </w:rPr>
        <w:t xml:space="preserve"> support sur 131.45. </w:t>
      </w:r>
    </w:p>
    <w:p w14:paraId="1AC4A37A" w14:textId="394168E9" w:rsidR="009B641C" w:rsidRDefault="00433583" w:rsidP="00B94D71">
      <w:pPr>
        <w:jc w:val="both"/>
        <w:rPr>
          <w:rFonts w:ascii="Tahoma" w:hAnsi="Tahoma" w:cs="Tahoma"/>
        </w:rPr>
      </w:pPr>
      <w:r>
        <w:rPr>
          <w:rFonts w:ascii="Tahoma" w:hAnsi="Tahoma" w:cs="Tahoma"/>
        </w:rPr>
        <w:t xml:space="preserve">Dans ce contexte, pas de hausse envisageable tant que le plat de KS de 132.41 ne sera pas invalidé </w:t>
      </w:r>
      <w:r w:rsidR="0095424D">
        <w:rPr>
          <w:rFonts w:ascii="Tahoma" w:hAnsi="Tahoma" w:cs="Tahoma"/>
        </w:rPr>
        <w:t>en</w:t>
      </w:r>
      <w:r>
        <w:rPr>
          <w:rFonts w:ascii="Tahoma" w:hAnsi="Tahoma" w:cs="Tahoma"/>
        </w:rPr>
        <w:t xml:space="preserve"> </w:t>
      </w:r>
      <w:r w:rsidR="006E3BCE">
        <w:rPr>
          <w:rFonts w:ascii="Tahoma" w:hAnsi="Tahoma" w:cs="Tahoma"/>
        </w:rPr>
        <w:t>clôture</w:t>
      </w:r>
      <w:r>
        <w:rPr>
          <w:rFonts w:ascii="Tahoma" w:hAnsi="Tahoma" w:cs="Tahoma"/>
        </w:rPr>
        <w:t>. Mais face à cette résistance, l’enchainement de chandelles à mèches basse nous indique que la force baissière est fortement compromise.</w:t>
      </w:r>
      <w:r w:rsidR="003D42B9">
        <w:rPr>
          <w:rFonts w:ascii="Tahoma" w:hAnsi="Tahoma" w:cs="Tahoma"/>
        </w:rPr>
        <w:t xml:space="preserve"> La bougie noire de mardi (J-4) est là parce que les acheteurs ne sont pas encore assez </w:t>
      </w:r>
      <w:r w:rsidR="006E3BCE">
        <w:rPr>
          <w:rFonts w:ascii="Tahoma" w:hAnsi="Tahoma" w:cs="Tahoma"/>
        </w:rPr>
        <w:t>convaincus</w:t>
      </w:r>
      <w:r w:rsidR="003D42B9">
        <w:rPr>
          <w:rFonts w:ascii="Tahoma" w:hAnsi="Tahoma" w:cs="Tahoma"/>
        </w:rPr>
        <w:t xml:space="preserve"> pour faire basculer le rapport de force à leur avantage.</w:t>
      </w:r>
      <w:r w:rsidR="00381A5D">
        <w:rPr>
          <w:rFonts w:ascii="Tahoma" w:hAnsi="Tahoma" w:cs="Tahoma"/>
        </w:rPr>
        <w:t xml:space="preserve"> </w:t>
      </w:r>
      <w:r w:rsidR="001322C9">
        <w:rPr>
          <w:rFonts w:ascii="Tahoma" w:hAnsi="Tahoma" w:cs="Tahoma"/>
        </w:rPr>
        <w:t>Le</w:t>
      </w:r>
      <w:r w:rsidR="00381A5D">
        <w:rPr>
          <w:rFonts w:ascii="Tahoma" w:hAnsi="Tahoma" w:cs="Tahoma"/>
        </w:rPr>
        <w:t xml:space="preserve"> plat de TS </w:t>
      </w:r>
      <w:r w:rsidR="001322C9">
        <w:rPr>
          <w:rFonts w:ascii="Tahoma" w:hAnsi="Tahoma" w:cs="Tahoma"/>
        </w:rPr>
        <w:t xml:space="preserve">qui </w:t>
      </w:r>
      <w:r w:rsidR="00381A5D">
        <w:rPr>
          <w:rFonts w:ascii="Tahoma" w:hAnsi="Tahoma" w:cs="Tahoma"/>
        </w:rPr>
        <w:t>montre l’abse</w:t>
      </w:r>
      <w:r w:rsidR="001322C9">
        <w:rPr>
          <w:rFonts w:ascii="Tahoma" w:hAnsi="Tahoma" w:cs="Tahoma"/>
        </w:rPr>
        <w:t xml:space="preserve">nce de dynamique de mouvement favorise le maintien du marché sous les résistances ou </w:t>
      </w:r>
      <w:r w:rsidR="006E3BCE">
        <w:rPr>
          <w:rFonts w:ascii="Tahoma" w:hAnsi="Tahoma" w:cs="Tahoma"/>
        </w:rPr>
        <w:t>au-dessus</w:t>
      </w:r>
      <w:r w:rsidR="001322C9">
        <w:rPr>
          <w:rFonts w:ascii="Tahoma" w:hAnsi="Tahoma" w:cs="Tahoma"/>
        </w:rPr>
        <w:t xml:space="preserve"> des supports</w:t>
      </w:r>
      <w:r w:rsidR="009B641C">
        <w:rPr>
          <w:rFonts w:ascii="Tahoma" w:hAnsi="Tahoma" w:cs="Tahoma"/>
        </w:rPr>
        <w:t>.</w:t>
      </w:r>
    </w:p>
    <w:p w14:paraId="5FD08698" w14:textId="4150D6DB" w:rsidR="009B641C" w:rsidRDefault="009B641C" w:rsidP="00B94D71">
      <w:pPr>
        <w:jc w:val="both"/>
        <w:rPr>
          <w:rFonts w:ascii="Tahoma" w:hAnsi="Tahoma" w:cs="Tahoma"/>
        </w:rPr>
      </w:pPr>
      <w:r>
        <w:rPr>
          <w:rFonts w:ascii="Tahoma" w:hAnsi="Tahoma" w:cs="Tahoma"/>
        </w:rPr>
        <w:t>Quoi qu’il en soit, le support de 131.45 ne devrait pas être invalidé.</w:t>
      </w:r>
      <w:r w:rsidR="007E3D4C">
        <w:rPr>
          <w:rFonts w:ascii="Tahoma" w:hAnsi="Tahoma" w:cs="Tahoma"/>
        </w:rPr>
        <w:t xml:space="preserve"> Si c’est effectivement le cas, </w:t>
      </w:r>
      <w:r>
        <w:rPr>
          <w:rFonts w:ascii="Tahoma" w:hAnsi="Tahoma" w:cs="Tahoma"/>
        </w:rPr>
        <w:t xml:space="preserve"> </w:t>
      </w:r>
      <w:r w:rsidR="007E3D4C">
        <w:rPr>
          <w:rFonts w:ascii="Tahoma" w:hAnsi="Tahoma" w:cs="Tahoma"/>
        </w:rPr>
        <w:t>c</w:t>
      </w:r>
      <w:r>
        <w:rPr>
          <w:rFonts w:ascii="Tahoma" w:hAnsi="Tahoma" w:cs="Tahoma"/>
        </w:rPr>
        <w:t>ela signifie</w:t>
      </w:r>
      <w:r w:rsidR="007E3D4C">
        <w:rPr>
          <w:rFonts w:ascii="Tahoma" w:hAnsi="Tahoma" w:cs="Tahoma"/>
        </w:rPr>
        <w:t>ra</w:t>
      </w:r>
      <w:r>
        <w:rPr>
          <w:rFonts w:ascii="Tahoma" w:hAnsi="Tahoma" w:cs="Tahoma"/>
        </w:rPr>
        <w:t xml:space="preserve"> que les résistances devraient être dépassée.</w:t>
      </w:r>
    </w:p>
    <w:p w14:paraId="6B148705" w14:textId="77777777" w:rsidR="009B641C" w:rsidRDefault="009B641C" w:rsidP="00B94D71">
      <w:pPr>
        <w:jc w:val="both"/>
        <w:rPr>
          <w:rFonts w:ascii="Tahoma" w:hAnsi="Tahoma" w:cs="Tahoma"/>
        </w:rPr>
      </w:pPr>
    </w:p>
    <w:p w14:paraId="34FE5972" w14:textId="079842CA" w:rsidR="00F01EB7"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F01EB7">
        <w:rPr>
          <w:rFonts w:ascii="Tahoma" w:hAnsi="Tahoma" w:cs="Tahoma"/>
        </w:rPr>
        <w:t xml:space="preserve"> 132.73 = point d’équilibre de la consolidation de moyen terme. </w:t>
      </w:r>
      <w:r w:rsidR="00AC3A81">
        <w:rPr>
          <w:rFonts w:ascii="Tahoma" w:hAnsi="Tahoma" w:cs="Tahoma"/>
        </w:rPr>
        <w:t xml:space="preserve">Pour l’instant le biais de moyen terme avantage la baisse mais un dépassement de 132.41 sur le court terme permettra au contrat de revenir </w:t>
      </w:r>
      <w:r w:rsidR="006E3BCE">
        <w:rPr>
          <w:rFonts w:ascii="Tahoma" w:hAnsi="Tahoma" w:cs="Tahoma"/>
        </w:rPr>
        <w:t>au-dessus</w:t>
      </w:r>
      <w:r w:rsidR="00AC3A81">
        <w:rPr>
          <w:rFonts w:ascii="Tahoma" w:hAnsi="Tahoma" w:cs="Tahoma"/>
        </w:rPr>
        <w:t xml:space="preserve"> du point neutre de 132.73.</w:t>
      </w:r>
    </w:p>
    <w:p w14:paraId="655E9AC0" w14:textId="73891DA0" w:rsidR="00723F77" w:rsidRDefault="00723F77" w:rsidP="00041E45">
      <w:pPr>
        <w:jc w:val="both"/>
        <w:rPr>
          <w:rFonts w:ascii="Tahoma" w:hAnsi="Tahoma" w:cs="Tahoma"/>
        </w:rPr>
      </w:pPr>
    </w:p>
    <w:p w14:paraId="6E428007" w14:textId="083684F5" w:rsidR="00EE6B93" w:rsidRDefault="00EE6B93" w:rsidP="00041E45">
      <w:pPr>
        <w:jc w:val="both"/>
        <w:rPr>
          <w:rFonts w:ascii="Tahoma" w:hAnsi="Tahoma" w:cs="Tahoma"/>
        </w:rPr>
      </w:pPr>
    </w:p>
    <w:p w14:paraId="2E975A96" w14:textId="77777777" w:rsidR="00EE6B93" w:rsidRDefault="00EE6B93" w:rsidP="00041E45">
      <w:pPr>
        <w:jc w:val="both"/>
        <w:rPr>
          <w:rFonts w:ascii="Tahoma" w:hAnsi="Tahoma" w:cs="Tahoma"/>
        </w:rPr>
      </w:pPr>
    </w:p>
    <w:p w14:paraId="01260563" w14:textId="4380D793" w:rsidR="00E3727C" w:rsidRPr="00EE6B93" w:rsidRDefault="00EE6B93"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ECBFD62" w14:textId="4026536A" w:rsidR="00723F77" w:rsidRDefault="00723F77" w:rsidP="00041E45">
      <w:pPr>
        <w:jc w:val="both"/>
        <w:rPr>
          <w:rFonts w:ascii="Tahoma" w:hAnsi="Tahoma" w:cs="Tahoma"/>
        </w:rPr>
      </w:pPr>
    </w:p>
    <w:p w14:paraId="195ADAF5" w14:textId="4D8EAD7D" w:rsidR="00EE6B93" w:rsidRDefault="00EE6B93" w:rsidP="00041E45">
      <w:pPr>
        <w:jc w:val="both"/>
        <w:rPr>
          <w:rFonts w:ascii="Tahoma" w:hAnsi="Tahoma" w:cs="Tahoma"/>
        </w:rPr>
      </w:pPr>
    </w:p>
    <w:p w14:paraId="75A26EFF" w14:textId="77777777" w:rsidR="00EE6B93" w:rsidRDefault="00EE6B93"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46EE3"/>
    <w:rsid w:val="000524C5"/>
    <w:rsid w:val="000556C3"/>
    <w:rsid w:val="000833FB"/>
    <w:rsid w:val="00092058"/>
    <w:rsid w:val="000938CC"/>
    <w:rsid w:val="000B221E"/>
    <w:rsid w:val="000B7DFC"/>
    <w:rsid w:val="000C0DE4"/>
    <w:rsid w:val="000D4ED3"/>
    <w:rsid w:val="001018AD"/>
    <w:rsid w:val="00103ED4"/>
    <w:rsid w:val="00105B4E"/>
    <w:rsid w:val="001322C9"/>
    <w:rsid w:val="00134AFA"/>
    <w:rsid w:val="00135766"/>
    <w:rsid w:val="0014687D"/>
    <w:rsid w:val="0015581D"/>
    <w:rsid w:val="00163C46"/>
    <w:rsid w:val="001705F4"/>
    <w:rsid w:val="00190995"/>
    <w:rsid w:val="001A4796"/>
    <w:rsid w:val="001D474B"/>
    <w:rsid w:val="001F650A"/>
    <w:rsid w:val="002003AD"/>
    <w:rsid w:val="002421FE"/>
    <w:rsid w:val="00262E25"/>
    <w:rsid w:val="00263ED0"/>
    <w:rsid w:val="002A1F8E"/>
    <w:rsid w:val="002A7006"/>
    <w:rsid w:val="002B5CB1"/>
    <w:rsid w:val="002C0A31"/>
    <w:rsid w:val="002D370E"/>
    <w:rsid w:val="002F54B0"/>
    <w:rsid w:val="00303214"/>
    <w:rsid w:val="0030643B"/>
    <w:rsid w:val="00337611"/>
    <w:rsid w:val="00340FD9"/>
    <w:rsid w:val="00352DD9"/>
    <w:rsid w:val="003767E0"/>
    <w:rsid w:val="00381A5D"/>
    <w:rsid w:val="00397D3D"/>
    <w:rsid w:val="003D42B9"/>
    <w:rsid w:val="0040171B"/>
    <w:rsid w:val="00433583"/>
    <w:rsid w:val="00467005"/>
    <w:rsid w:val="004A2D2D"/>
    <w:rsid w:val="004A5154"/>
    <w:rsid w:val="004F48EE"/>
    <w:rsid w:val="00531928"/>
    <w:rsid w:val="005440A4"/>
    <w:rsid w:val="00546A5A"/>
    <w:rsid w:val="00566580"/>
    <w:rsid w:val="00567AF3"/>
    <w:rsid w:val="00583BC8"/>
    <w:rsid w:val="006059E5"/>
    <w:rsid w:val="00654380"/>
    <w:rsid w:val="00664BE1"/>
    <w:rsid w:val="006B055C"/>
    <w:rsid w:val="006E32BB"/>
    <w:rsid w:val="006E38E0"/>
    <w:rsid w:val="006E3BCE"/>
    <w:rsid w:val="00710599"/>
    <w:rsid w:val="00723F77"/>
    <w:rsid w:val="00744696"/>
    <w:rsid w:val="00772067"/>
    <w:rsid w:val="0077545D"/>
    <w:rsid w:val="007A0A4B"/>
    <w:rsid w:val="007A0E6C"/>
    <w:rsid w:val="007B1237"/>
    <w:rsid w:val="007B661D"/>
    <w:rsid w:val="007D19FF"/>
    <w:rsid w:val="007D2085"/>
    <w:rsid w:val="007D4181"/>
    <w:rsid w:val="007E3D4C"/>
    <w:rsid w:val="0080658F"/>
    <w:rsid w:val="0083454A"/>
    <w:rsid w:val="00837B38"/>
    <w:rsid w:val="00896554"/>
    <w:rsid w:val="008A7407"/>
    <w:rsid w:val="008B06F4"/>
    <w:rsid w:val="008F10C2"/>
    <w:rsid w:val="00902D2F"/>
    <w:rsid w:val="0095424D"/>
    <w:rsid w:val="00961FDF"/>
    <w:rsid w:val="00983B7D"/>
    <w:rsid w:val="009A37C2"/>
    <w:rsid w:val="009B641C"/>
    <w:rsid w:val="009F3AB8"/>
    <w:rsid w:val="00A11606"/>
    <w:rsid w:val="00A21CD1"/>
    <w:rsid w:val="00A6401C"/>
    <w:rsid w:val="00A81AB7"/>
    <w:rsid w:val="00AA522C"/>
    <w:rsid w:val="00AC3A81"/>
    <w:rsid w:val="00AE7F3B"/>
    <w:rsid w:val="00B34260"/>
    <w:rsid w:val="00B41C02"/>
    <w:rsid w:val="00B4335A"/>
    <w:rsid w:val="00B50E38"/>
    <w:rsid w:val="00B554B8"/>
    <w:rsid w:val="00B642AB"/>
    <w:rsid w:val="00B64EE0"/>
    <w:rsid w:val="00B94D71"/>
    <w:rsid w:val="00BB0E32"/>
    <w:rsid w:val="00BB6D9D"/>
    <w:rsid w:val="00BC77A5"/>
    <w:rsid w:val="00BD3FC1"/>
    <w:rsid w:val="00C17ED7"/>
    <w:rsid w:val="00C41F15"/>
    <w:rsid w:val="00C70171"/>
    <w:rsid w:val="00C70A68"/>
    <w:rsid w:val="00C82E98"/>
    <w:rsid w:val="00CB17C9"/>
    <w:rsid w:val="00CC72FF"/>
    <w:rsid w:val="00CC7C21"/>
    <w:rsid w:val="00CE0886"/>
    <w:rsid w:val="00CF2516"/>
    <w:rsid w:val="00CF6D63"/>
    <w:rsid w:val="00D23B28"/>
    <w:rsid w:val="00D4322F"/>
    <w:rsid w:val="00D46C8D"/>
    <w:rsid w:val="00D5424F"/>
    <w:rsid w:val="00DA1359"/>
    <w:rsid w:val="00DE5444"/>
    <w:rsid w:val="00DF072F"/>
    <w:rsid w:val="00E32014"/>
    <w:rsid w:val="00E3727C"/>
    <w:rsid w:val="00EB58BA"/>
    <w:rsid w:val="00EE6B93"/>
    <w:rsid w:val="00F01EB7"/>
    <w:rsid w:val="00F04A6E"/>
    <w:rsid w:val="00F04DEF"/>
    <w:rsid w:val="00F31070"/>
    <w:rsid w:val="00F53F10"/>
    <w:rsid w:val="00F636F8"/>
    <w:rsid w:val="00F72B03"/>
    <w:rsid w:val="00FA2C8E"/>
    <w:rsid w:val="00FB3B60"/>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605</TotalTime>
  <Pages>3</Pages>
  <Words>483</Words>
  <Characters>2658</Characters>
  <Application>Microsoft Office Word</Application>
  <DocSecurity>0</DocSecurity>
  <Lines>22</Lines>
  <Paragraphs>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113</cp:revision>
  <dcterms:created xsi:type="dcterms:W3CDTF">2021-11-25T09:44:00Z</dcterms:created>
  <dcterms:modified xsi:type="dcterms:W3CDTF">2024-11-17T16:43:00Z</dcterms:modified>
</cp:coreProperties>
</file>