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9ED1B" w14:textId="2422544D" w:rsidR="00832F1E" w:rsidRPr="00832F1E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10712595" w14:textId="7F3A84A6" w:rsidR="00832F1E" w:rsidRDefault="00832F1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37A111E0" w14:textId="7C2FB71E" w:rsidR="00832F1E" w:rsidRDefault="00832F1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E6112EA" wp14:editId="1C3AB74B">
            <wp:extent cx="5760720" cy="4320540"/>
            <wp:effectExtent l="0" t="0" r="0" b="3810"/>
            <wp:docPr id="11284020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8B772" w14:textId="469C91CB" w:rsidR="00832F1E" w:rsidRDefault="00832F1E" w:rsidP="00832F1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D6282B">
        <w:rPr>
          <w:rFonts w:ascii="Tahoma" w:hAnsi="Tahoma" w:cs="Tahoma"/>
        </w:rPr>
        <w:t xml:space="preserve">e contexte de long terme est toujours haussier avec des cours et une LS qui se sont maintenus </w:t>
      </w:r>
      <w:r w:rsidR="00ED5692">
        <w:rPr>
          <w:rFonts w:ascii="Tahoma" w:hAnsi="Tahoma" w:cs="Tahoma"/>
        </w:rPr>
        <w:t>au-dessus</w:t>
      </w:r>
      <w:r w:rsidR="00D6282B">
        <w:rPr>
          <w:rFonts w:ascii="Tahoma" w:hAnsi="Tahoma" w:cs="Tahoma"/>
        </w:rPr>
        <w:t xml:space="preserve"> de leur nuage</w:t>
      </w:r>
      <w:r w:rsidR="0021021A">
        <w:rPr>
          <w:rFonts w:ascii="Tahoma" w:hAnsi="Tahoma" w:cs="Tahoma"/>
        </w:rPr>
        <w:t>.</w:t>
      </w:r>
    </w:p>
    <w:p w14:paraId="30C30E92" w14:textId="0CFFFA6B" w:rsidR="0021021A" w:rsidRDefault="0021021A" w:rsidP="00832F1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l’environnement est haussier, les prix font du surplace depuis plusieurs mois. Une résistance sur 5100 bloque la progression de l’indice sans pour autant inciter les vendeurs à </w:t>
      </w:r>
      <w:r w:rsidR="009A779D">
        <w:rPr>
          <w:rFonts w:ascii="Tahoma" w:hAnsi="Tahoma" w:cs="Tahoma"/>
        </w:rPr>
        <w:t>re</w:t>
      </w:r>
      <w:r>
        <w:rPr>
          <w:rFonts w:ascii="Tahoma" w:hAnsi="Tahoma" w:cs="Tahoma"/>
        </w:rPr>
        <w:t>prendre le dessus.</w:t>
      </w:r>
    </w:p>
    <w:p w14:paraId="0690E087" w14:textId="241AB18C" w:rsidR="007209FC" w:rsidRDefault="00BD475A" w:rsidP="00832F1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="009969D1">
        <w:rPr>
          <w:rFonts w:ascii="Tahoma" w:hAnsi="Tahoma" w:cs="Tahoma"/>
        </w:rPr>
        <w:t xml:space="preserve">es prix qui collent à la TS, </w:t>
      </w:r>
      <w:r>
        <w:rPr>
          <w:rFonts w:ascii="Tahoma" w:hAnsi="Tahoma" w:cs="Tahoma"/>
        </w:rPr>
        <w:t>permett</w:t>
      </w:r>
      <w:r w:rsidR="009A779D">
        <w:rPr>
          <w:rFonts w:ascii="Tahoma" w:hAnsi="Tahoma" w:cs="Tahoma"/>
        </w:rPr>
        <w:t>ent</w:t>
      </w:r>
      <w:r>
        <w:rPr>
          <w:rFonts w:ascii="Tahoma" w:hAnsi="Tahoma" w:cs="Tahoma"/>
        </w:rPr>
        <w:t xml:space="preserve"> d’envisager une nouvelle</w:t>
      </w:r>
      <w:r w:rsidR="00C43EA4">
        <w:rPr>
          <w:rFonts w:ascii="Tahoma" w:hAnsi="Tahoma" w:cs="Tahoma"/>
        </w:rPr>
        <w:t xml:space="preserve"> tentative de cassure de 5100 </w:t>
      </w:r>
      <w:r>
        <w:rPr>
          <w:rFonts w:ascii="Tahoma" w:hAnsi="Tahoma" w:cs="Tahoma"/>
        </w:rPr>
        <w:t xml:space="preserve">mais la forme plate de cette courbe indique que le marché n’a pas de </w:t>
      </w:r>
      <w:r w:rsidR="009A779D">
        <w:rPr>
          <w:rFonts w:ascii="Tahoma" w:hAnsi="Tahoma" w:cs="Tahoma"/>
        </w:rPr>
        <w:t xml:space="preserve">dynamique et de </w:t>
      </w:r>
      <w:r>
        <w:rPr>
          <w:rFonts w:ascii="Tahoma" w:hAnsi="Tahoma" w:cs="Tahoma"/>
        </w:rPr>
        <w:t>puissance pour dépasser la résistance.</w:t>
      </w:r>
    </w:p>
    <w:p w14:paraId="16C30768" w14:textId="496A5AF9" w:rsidR="00832F1E" w:rsidRPr="00CF4469" w:rsidRDefault="007209F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du mois de novembre </w:t>
      </w:r>
      <w:r w:rsidR="00EE658A">
        <w:rPr>
          <w:rFonts w:ascii="Tahoma" w:hAnsi="Tahoma" w:cs="Tahoma"/>
        </w:rPr>
        <w:t xml:space="preserve">en doji accentue un peu plus le </w:t>
      </w:r>
      <w:r w:rsidR="00FA56AA">
        <w:rPr>
          <w:rFonts w:ascii="Tahoma" w:hAnsi="Tahoma" w:cs="Tahoma"/>
        </w:rPr>
        <w:t xml:space="preserve">contexte où le </w:t>
      </w:r>
      <w:r w:rsidR="00EE658A">
        <w:rPr>
          <w:rFonts w:ascii="Tahoma" w:hAnsi="Tahoma" w:cs="Tahoma"/>
        </w:rPr>
        <w:t xml:space="preserve">manque de conviction </w:t>
      </w:r>
      <w:r w:rsidR="008D4252">
        <w:rPr>
          <w:rFonts w:ascii="Tahoma" w:hAnsi="Tahoma" w:cs="Tahoma"/>
        </w:rPr>
        <w:t>domine.</w:t>
      </w:r>
      <w:r w:rsidR="00BD475A">
        <w:rPr>
          <w:rFonts w:ascii="Tahoma" w:hAnsi="Tahoma" w:cs="Tahoma"/>
        </w:rPr>
        <w:t xml:space="preserve">  </w:t>
      </w:r>
    </w:p>
    <w:p w14:paraId="6A0F7EC2" w14:textId="3EBDE9E7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184464097"/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33C36D0E" w:rsidR="006E32BB" w:rsidRDefault="00B57365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54023C8" wp14:editId="3091772D">
            <wp:extent cx="5760720" cy="4320540"/>
            <wp:effectExtent l="0" t="0" r="0" b="3810"/>
            <wp:docPr id="95711498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3F978183" w:rsidR="001705F4" w:rsidRDefault="002F3CE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la hausse des prix est positive et que la longue chandelle blanche tranche avec les bougies qui la </w:t>
      </w:r>
      <w:r w:rsidR="00ED5692">
        <w:rPr>
          <w:rFonts w:ascii="Tahoma" w:hAnsi="Tahoma" w:cs="Tahoma"/>
        </w:rPr>
        <w:t>précède</w:t>
      </w:r>
      <w:r>
        <w:rPr>
          <w:rFonts w:ascii="Tahoma" w:hAnsi="Tahoma" w:cs="Tahoma"/>
        </w:rPr>
        <w:t xml:space="preserve">, les plats de TS et de KS montrent que nous avons </w:t>
      </w:r>
      <w:r w:rsidR="009A779D">
        <w:rPr>
          <w:rFonts w:ascii="Tahoma" w:hAnsi="Tahoma" w:cs="Tahoma"/>
        </w:rPr>
        <w:t>plutot</w:t>
      </w:r>
      <w:r>
        <w:rPr>
          <w:rFonts w:ascii="Tahoma" w:hAnsi="Tahoma" w:cs="Tahoma"/>
        </w:rPr>
        <w:t xml:space="preserve"> affaire à </w:t>
      </w:r>
      <w:r w:rsidR="008D7565">
        <w:rPr>
          <w:rFonts w:ascii="Tahoma" w:hAnsi="Tahoma" w:cs="Tahoma"/>
        </w:rPr>
        <w:t xml:space="preserve">un phénomène </w:t>
      </w:r>
      <w:r>
        <w:rPr>
          <w:rFonts w:ascii="Tahoma" w:hAnsi="Tahoma" w:cs="Tahoma"/>
        </w:rPr>
        <w:t xml:space="preserve">de volatilité </w:t>
      </w:r>
      <w:r w:rsidR="008D7565">
        <w:rPr>
          <w:rFonts w:ascii="Tahoma" w:hAnsi="Tahoma" w:cs="Tahoma"/>
        </w:rPr>
        <w:t>qu’à un début de vague haussière.</w:t>
      </w:r>
    </w:p>
    <w:p w14:paraId="1EF1C159" w14:textId="7DCFBDA1" w:rsidR="00E242E9" w:rsidRDefault="00E242E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haussier sur cette unité de temps est </w:t>
      </w:r>
      <w:r w:rsidR="00ED5692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</w:t>
      </w:r>
      <w:r w:rsidR="00ED5692">
        <w:rPr>
          <w:rFonts w:ascii="Tahoma" w:hAnsi="Tahoma" w:cs="Tahoma"/>
        </w:rPr>
        <w:t>différent</w:t>
      </w:r>
      <w:r>
        <w:rPr>
          <w:rFonts w:ascii="Tahoma" w:hAnsi="Tahoma" w:cs="Tahoma"/>
        </w:rPr>
        <w:t xml:space="preserve"> de celui du long terme. Les cours </w:t>
      </w:r>
      <w:r w:rsidR="00510E1D">
        <w:rPr>
          <w:rFonts w:ascii="Tahoma" w:hAnsi="Tahoma" w:cs="Tahoma"/>
        </w:rPr>
        <w:t>se maintiennent</w:t>
      </w:r>
      <w:r>
        <w:rPr>
          <w:rFonts w:ascii="Tahoma" w:hAnsi="Tahoma" w:cs="Tahoma"/>
        </w:rPr>
        <w:t xml:space="preserve"> </w:t>
      </w:r>
      <w:r w:rsidR="00ED5692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nuage alors que la LS devra s’affranchir de la barrière des prix pour envisager un contexte positif sans contrainte</w:t>
      </w:r>
      <w:r w:rsidR="00510E1D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</w:t>
      </w:r>
      <w:r w:rsidR="00C6241A">
        <w:rPr>
          <w:rFonts w:ascii="Tahoma" w:hAnsi="Tahoma" w:cs="Tahoma"/>
        </w:rPr>
        <w:t>Mais ce</w:t>
      </w:r>
      <w:r>
        <w:rPr>
          <w:rFonts w:ascii="Tahoma" w:hAnsi="Tahoma" w:cs="Tahoma"/>
        </w:rPr>
        <w:t xml:space="preserve"> dernier </w:t>
      </w:r>
      <w:r w:rsidR="00C6241A">
        <w:rPr>
          <w:rFonts w:ascii="Tahoma" w:hAnsi="Tahoma" w:cs="Tahoma"/>
        </w:rPr>
        <w:t xml:space="preserve">ne pourra pas être envisagé tant que 5100 ne sera pas dépassé en </w:t>
      </w:r>
      <w:r w:rsidR="00ED5692">
        <w:rPr>
          <w:rFonts w:ascii="Tahoma" w:hAnsi="Tahoma" w:cs="Tahoma"/>
        </w:rPr>
        <w:t>clôture</w:t>
      </w:r>
      <w:r w:rsidR="00C6241A">
        <w:rPr>
          <w:rFonts w:ascii="Tahoma" w:hAnsi="Tahoma" w:cs="Tahoma"/>
        </w:rPr>
        <w:t>.</w:t>
      </w:r>
    </w:p>
    <w:p w14:paraId="5CFE7B87" w14:textId="2ACBDA7F" w:rsidR="00783B39" w:rsidRDefault="00783B3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L’environnement nous donne des supports matérialisés par les courbes </w:t>
      </w:r>
      <w:r w:rsidR="00ED5692">
        <w:rPr>
          <w:rFonts w:ascii="Tahoma" w:hAnsi="Tahoma" w:cs="Tahoma"/>
        </w:rPr>
        <w:t>Ichimoku</w:t>
      </w:r>
      <w:r>
        <w:rPr>
          <w:rFonts w:ascii="Tahoma" w:hAnsi="Tahoma" w:cs="Tahoma"/>
        </w:rPr>
        <w:t>, à savoir plat de SSA à 4856, plat de KS à 4772 et plat de SSB à 4557.</w:t>
      </w:r>
    </w:p>
    <w:bookmarkEnd w:id="0"/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28999410" w14:textId="4654C62E" w:rsidR="00583BC8" w:rsidRDefault="00B57365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0B10265" wp14:editId="7CEF98E2">
            <wp:extent cx="5760720" cy="4320540"/>
            <wp:effectExtent l="0" t="0" r="0" b="3810"/>
            <wp:docPr id="43335616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6932576B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D47A9B">
        <w:rPr>
          <w:rFonts w:ascii="Tahoma" w:hAnsi="Tahoma" w:cs="Tahoma"/>
        </w:rPr>
        <w:t xml:space="preserve">e maintien des cours </w:t>
      </w:r>
      <w:r w:rsidR="00ED5692">
        <w:rPr>
          <w:rFonts w:ascii="Tahoma" w:hAnsi="Tahoma" w:cs="Tahoma"/>
        </w:rPr>
        <w:t>au-dessus</w:t>
      </w:r>
      <w:r w:rsidR="00D47A9B">
        <w:rPr>
          <w:rFonts w:ascii="Tahoma" w:hAnsi="Tahoma" w:cs="Tahoma"/>
        </w:rPr>
        <w:t xml:space="preserve"> de la zone support des 4728 points et l’étoile doji du matin (</w:t>
      </w:r>
      <w:r w:rsidR="007E786C">
        <w:rPr>
          <w:rFonts w:ascii="Tahoma" w:hAnsi="Tahoma" w:cs="Tahoma"/>
        </w:rPr>
        <w:t xml:space="preserve">de la </w:t>
      </w:r>
      <w:r w:rsidR="00ED5692">
        <w:rPr>
          <w:rFonts w:ascii="Tahoma" w:hAnsi="Tahoma" w:cs="Tahoma"/>
        </w:rPr>
        <w:t>mi-novembre</w:t>
      </w:r>
      <w:r w:rsidR="00D47A9B">
        <w:rPr>
          <w:rFonts w:ascii="Tahoma" w:hAnsi="Tahoma" w:cs="Tahoma"/>
        </w:rPr>
        <w:t>) qui n’a pas été remise en cause, ont placé le marché dans un environnement positif</w:t>
      </w:r>
      <w:r w:rsidR="007E786C">
        <w:rPr>
          <w:rFonts w:ascii="Tahoma" w:hAnsi="Tahoma" w:cs="Tahoma"/>
        </w:rPr>
        <w:t xml:space="preserve"> de court terme</w:t>
      </w:r>
      <w:r w:rsidR="00D47A9B">
        <w:rPr>
          <w:rFonts w:ascii="Tahoma" w:hAnsi="Tahoma" w:cs="Tahoma"/>
        </w:rPr>
        <w:t xml:space="preserve">. Ainsi cours et LS sont revenus </w:t>
      </w:r>
      <w:r w:rsidR="00ED5692">
        <w:rPr>
          <w:rFonts w:ascii="Tahoma" w:hAnsi="Tahoma" w:cs="Tahoma"/>
        </w:rPr>
        <w:t>au-dessus</w:t>
      </w:r>
      <w:r w:rsidR="00D47A9B">
        <w:rPr>
          <w:rFonts w:ascii="Tahoma" w:hAnsi="Tahoma" w:cs="Tahoma"/>
        </w:rPr>
        <w:t xml:space="preserve"> de leur nuage respectif.</w:t>
      </w:r>
      <w:r>
        <w:rPr>
          <w:rFonts w:ascii="Tahoma" w:hAnsi="Tahoma" w:cs="Tahoma"/>
        </w:rPr>
        <w:t xml:space="preserve"> </w:t>
      </w:r>
    </w:p>
    <w:p w14:paraId="5392DFD0" w14:textId="36D7373A" w:rsidR="00BC5681" w:rsidRDefault="00D47A9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rebond des prix a été relativement fort et sans correction au cours de la semaine écoulée. Mais la hausse place aujourd’hui le marché dans un environnement suracheté. Cela signifie qu</w:t>
      </w:r>
      <w:r w:rsidR="00AB1E74">
        <w:rPr>
          <w:rFonts w:ascii="Tahoma" w:hAnsi="Tahoma" w:cs="Tahoma"/>
        </w:rPr>
        <w:t>e pour les investisseurs, il est trop tard ou trop risqué pour acheter l’indice</w:t>
      </w:r>
      <w:r w:rsidR="007401B4">
        <w:rPr>
          <w:rFonts w:ascii="Tahoma" w:hAnsi="Tahoma" w:cs="Tahoma"/>
        </w:rPr>
        <w:t xml:space="preserve"> et</w:t>
      </w:r>
      <w:r w:rsidR="00AB1E74">
        <w:rPr>
          <w:rFonts w:ascii="Tahoma" w:hAnsi="Tahoma" w:cs="Tahoma"/>
        </w:rPr>
        <w:t xml:space="preserve"> qu’il </w:t>
      </w:r>
      <w:r w:rsidR="007401B4">
        <w:rPr>
          <w:rFonts w:ascii="Tahoma" w:hAnsi="Tahoma" w:cs="Tahoma"/>
        </w:rPr>
        <w:t>sera</w:t>
      </w:r>
      <w:r w:rsidR="00AB1E74">
        <w:rPr>
          <w:rFonts w:ascii="Tahoma" w:hAnsi="Tahoma" w:cs="Tahoma"/>
        </w:rPr>
        <w:t xml:space="preserve"> plus prudent de réaliser ses gains en cas de doute</w:t>
      </w:r>
      <w:r w:rsidR="007401B4">
        <w:rPr>
          <w:rFonts w:ascii="Tahoma" w:hAnsi="Tahoma" w:cs="Tahoma"/>
        </w:rPr>
        <w:t xml:space="preserve"> ou de stagnation du marché</w:t>
      </w:r>
      <w:r w:rsidR="00AB1E74">
        <w:rPr>
          <w:rFonts w:ascii="Tahoma" w:hAnsi="Tahoma" w:cs="Tahoma"/>
        </w:rPr>
        <w:t>.</w:t>
      </w:r>
    </w:p>
    <w:p w14:paraId="79DC2911" w14:textId="77777777" w:rsidR="006E57FF" w:rsidRDefault="00BC568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envisager une rupture de la résistance de 5100, les prix devront revenir sur la TS c’est-à-dire corriger une partie de la hausse de ces derniers jours.</w:t>
      </w:r>
    </w:p>
    <w:p w14:paraId="43C021AB" w14:textId="434EEFDD" w:rsidR="00D47A9B" w:rsidRDefault="006E57F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L’enchainement des bougies blanches montre un marché qui s’est emballé. Nous sommes loin d’une hausse construite et raisonnée. Dans ce contexte une baisse </w:t>
      </w:r>
      <w:r w:rsidR="00ED5692">
        <w:rPr>
          <w:rFonts w:ascii="Tahoma" w:hAnsi="Tahoma" w:cs="Tahoma"/>
        </w:rPr>
        <w:t>résultant</w:t>
      </w:r>
      <w:r w:rsidR="00BB3EAE">
        <w:rPr>
          <w:rFonts w:ascii="Tahoma" w:hAnsi="Tahoma" w:cs="Tahoma"/>
        </w:rPr>
        <w:t xml:space="preserve"> d’une correction sera </w:t>
      </w:r>
      <w:r w:rsidR="00ED5692">
        <w:rPr>
          <w:rFonts w:ascii="Tahoma" w:hAnsi="Tahoma" w:cs="Tahoma"/>
        </w:rPr>
        <w:t>nécessaire</w:t>
      </w:r>
      <w:r w:rsidR="00BB3EAE">
        <w:rPr>
          <w:rFonts w:ascii="Tahoma" w:hAnsi="Tahoma" w:cs="Tahoma"/>
        </w:rPr>
        <w:t>.</w:t>
      </w:r>
      <w:r w:rsidR="00AB1E74">
        <w:rPr>
          <w:rFonts w:ascii="Tahoma" w:hAnsi="Tahoma" w:cs="Tahoma"/>
        </w:rPr>
        <w:t xml:space="preserve">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C1341A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55F89">
        <w:rPr>
          <w:rFonts w:ascii="Tahoma" w:hAnsi="Tahoma" w:cs="Tahoma"/>
        </w:rPr>
        <w:t xml:space="preserve"> Emballement du marché qui se trouve dans un contexte suracheté sur le court terme. Une correction pourrait trouver les supports de moyen terme de 4856, 4772 ou 4557.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2273BD98" w14:textId="77777777" w:rsidR="00355F89" w:rsidRDefault="00355F89" w:rsidP="00041E45">
      <w:pPr>
        <w:jc w:val="both"/>
        <w:rPr>
          <w:rFonts w:ascii="Tahoma" w:hAnsi="Tahoma" w:cs="Tahoma"/>
        </w:rPr>
      </w:pPr>
    </w:p>
    <w:p w14:paraId="66364D58" w14:textId="4DCA9728" w:rsidR="003C2E49" w:rsidRPr="00CC2FF4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72B0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1021A"/>
    <w:rsid w:val="002421FE"/>
    <w:rsid w:val="00246803"/>
    <w:rsid w:val="00262E25"/>
    <w:rsid w:val="00263ED0"/>
    <w:rsid w:val="002A1F8E"/>
    <w:rsid w:val="002B5CB1"/>
    <w:rsid w:val="002C0A31"/>
    <w:rsid w:val="002F3CE1"/>
    <w:rsid w:val="002F54B0"/>
    <w:rsid w:val="0030643B"/>
    <w:rsid w:val="00337611"/>
    <w:rsid w:val="00340FD9"/>
    <w:rsid w:val="00352DD9"/>
    <w:rsid w:val="00355F89"/>
    <w:rsid w:val="00360D57"/>
    <w:rsid w:val="003C2E49"/>
    <w:rsid w:val="0040171B"/>
    <w:rsid w:val="00467005"/>
    <w:rsid w:val="004A5154"/>
    <w:rsid w:val="00510E1D"/>
    <w:rsid w:val="00531928"/>
    <w:rsid w:val="005440A4"/>
    <w:rsid w:val="00546A5A"/>
    <w:rsid w:val="00566580"/>
    <w:rsid w:val="00567AF3"/>
    <w:rsid w:val="00583BC8"/>
    <w:rsid w:val="00654380"/>
    <w:rsid w:val="006E32BB"/>
    <w:rsid w:val="006E57FF"/>
    <w:rsid w:val="007209FC"/>
    <w:rsid w:val="00723F77"/>
    <w:rsid w:val="007401B4"/>
    <w:rsid w:val="00744696"/>
    <w:rsid w:val="00772067"/>
    <w:rsid w:val="0077545D"/>
    <w:rsid w:val="00783B39"/>
    <w:rsid w:val="007A0E6C"/>
    <w:rsid w:val="007B661D"/>
    <w:rsid w:val="007D19FF"/>
    <w:rsid w:val="007D2085"/>
    <w:rsid w:val="007E786C"/>
    <w:rsid w:val="00832F1E"/>
    <w:rsid w:val="0083454A"/>
    <w:rsid w:val="00835AC6"/>
    <w:rsid w:val="00837B38"/>
    <w:rsid w:val="00896554"/>
    <w:rsid w:val="008A7407"/>
    <w:rsid w:val="008D4252"/>
    <w:rsid w:val="008D7565"/>
    <w:rsid w:val="008F10C2"/>
    <w:rsid w:val="00902D2F"/>
    <w:rsid w:val="00961FDF"/>
    <w:rsid w:val="00983B7D"/>
    <w:rsid w:val="009969D1"/>
    <w:rsid w:val="009A37C2"/>
    <w:rsid w:val="009A779D"/>
    <w:rsid w:val="009F3AB8"/>
    <w:rsid w:val="00A030EF"/>
    <w:rsid w:val="00A11606"/>
    <w:rsid w:val="00A6401C"/>
    <w:rsid w:val="00A81AB7"/>
    <w:rsid w:val="00AB1E74"/>
    <w:rsid w:val="00AE7F3B"/>
    <w:rsid w:val="00B2494D"/>
    <w:rsid w:val="00B34260"/>
    <w:rsid w:val="00B41C02"/>
    <w:rsid w:val="00B50E38"/>
    <w:rsid w:val="00B554B8"/>
    <w:rsid w:val="00B57365"/>
    <w:rsid w:val="00B64EE0"/>
    <w:rsid w:val="00BB0E32"/>
    <w:rsid w:val="00BB3EAE"/>
    <w:rsid w:val="00BB6D9D"/>
    <w:rsid w:val="00BC5681"/>
    <w:rsid w:val="00BC77A5"/>
    <w:rsid w:val="00BD3FC1"/>
    <w:rsid w:val="00BD475A"/>
    <w:rsid w:val="00C17ED7"/>
    <w:rsid w:val="00C41F15"/>
    <w:rsid w:val="00C43EA4"/>
    <w:rsid w:val="00C6241A"/>
    <w:rsid w:val="00C70171"/>
    <w:rsid w:val="00C70A68"/>
    <w:rsid w:val="00C82E98"/>
    <w:rsid w:val="00CC2FF4"/>
    <w:rsid w:val="00CC7C21"/>
    <w:rsid w:val="00CE0886"/>
    <w:rsid w:val="00CF2516"/>
    <w:rsid w:val="00CF4469"/>
    <w:rsid w:val="00CF6D63"/>
    <w:rsid w:val="00D23B28"/>
    <w:rsid w:val="00D46C8D"/>
    <w:rsid w:val="00D47A9B"/>
    <w:rsid w:val="00D6282B"/>
    <w:rsid w:val="00DE5444"/>
    <w:rsid w:val="00DF072F"/>
    <w:rsid w:val="00E242E9"/>
    <w:rsid w:val="00E32014"/>
    <w:rsid w:val="00EB58BA"/>
    <w:rsid w:val="00ED5692"/>
    <w:rsid w:val="00EE658A"/>
    <w:rsid w:val="00F04A6E"/>
    <w:rsid w:val="00F04DEF"/>
    <w:rsid w:val="00F31070"/>
    <w:rsid w:val="00F53F10"/>
    <w:rsid w:val="00F636F8"/>
    <w:rsid w:val="00FA18F6"/>
    <w:rsid w:val="00FA2C8E"/>
    <w:rsid w:val="00FA56AA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4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102</cp:revision>
  <dcterms:created xsi:type="dcterms:W3CDTF">2021-11-25T09:44:00Z</dcterms:created>
  <dcterms:modified xsi:type="dcterms:W3CDTF">2024-12-08T11:40:00Z</dcterms:modified>
</cp:coreProperties>
</file>