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E175920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4B80FB78" w14:textId="7DE6E364" w:rsidR="00FF24D2" w:rsidRPr="00041E45" w:rsidRDefault="00FF24D2" w:rsidP="00FF24D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E3BFED1" w14:textId="6EBA3839" w:rsidR="00FF24D2" w:rsidRDefault="00725726" w:rsidP="00FF24D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17AEEB8" wp14:editId="4186D86B">
            <wp:extent cx="5760720" cy="4320540"/>
            <wp:effectExtent l="0" t="0" r="0" b="3810"/>
            <wp:docPr id="1576514169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9F53B" w14:textId="3070A65C" w:rsidR="00FF24D2" w:rsidRDefault="006C1DD0" w:rsidP="00FF24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L’échéance décembre est arrivée à son terme, nous sommes maintenant sur un contrat d’échéance mars 2025. Ce changement modifie les supports et résistance</w:t>
      </w:r>
      <w:r w:rsidR="00C57956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long terme, </w:t>
      </w:r>
      <w:r w:rsidR="00C57956">
        <w:rPr>
          <w:rFonts w:ascii="Tahoma" w:hAnsi="Tahoma" w:cs="Tahoma"/>
        </w:rPr>
        <w:t>détermin</w:t>
      </w:r>
      <w:r>
        <w:rPr>
          <w:rFonts w:ascii="Tahoma" w:hAnsi="Tahoma" w:cs="Tahoma"/>
        </w:rPr>
        <w:t>ées lors des précédentes analyses.</w:t>
      </w:r>
    </w:p>
    <w:p w14:paraId="2D0FC89D" w14:textId="7B2F0B65" w:rsidR="00725726" w:rsidRDefault="00725726" w:rsidP="00FF24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un plat passé de SSA sur 128.40 servira de support au marché. </w:t>
      </w:r>
      <w:r w:rsidR="00FB068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point, le contexte technique avantagera le biais neutre à haussier. Donc pas de baisse envisageable </w:t>
      </w:r>
      <w:r w:rsidR="008A18B1">
        <w:rPr>
          <w:rFonts w:ascii="Tahoma" w:hAnsi="Tahoma" w:cs="Tahoma"/>
        </w:rPr>
        <w:t xml:space="preserve">sur le long terme </w:t>
      </w:r>
      <w:r>
        <w:rPr>
          <w:rFonts w:ascii="Tahoma" w:hAnsi="Tahoma" w:cs="Tahoma"/>
        </w:rPr>
        <w:t xml:space="preserve">tant que le contrat se maintiendra </w:t>
      </w:r>
      <w:r w:rsidR="00FB068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niveau d’autant plus que 128.40 trace la base d’une étoile du matin </w:t>
      </w:r>
      <w:r w:rsidR="005E1D5B">
        <w:rPr>
          <w:rFonts w:ascii="Tahoma" w:hAnsi="Tahoma" w:cs="Tahoma"/>
        </w:rPr>
        <w:t xml:space="preserve">(structure de retournement) </w:t>
      </w:r>
      <w:r>
        <w:rPr>
          <w:rFonts w:ascii="Tahoma" w:hAnsi="Tahoma" w:cs="Tahoma"/>
        </w:rPr>
        <w:t>qui a influencé positivement les échanges depuis un peu plus d’une année.</w:t>
      </w:r>
    </w:p>
    <w:p w14:paraId="04515D0D" w14:textId="2B1414E5" w:rsidR="009F1E93" w:rsidRDefault="005E1D5B" w:rsidP="00FF24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Face au support, nous avons un plat de KS passée qui sert de résistance sur 138.00. Cette résistance a été testée plusieurs fois sans être invalidée.</w:t>
      </w:r>
      <w:r w:rsidR="00B96E81">
        <w:rPr>
          <w:rFonts w:ascii="Tahoma" w:hAnsi="Tahoma" w:cs="Tahoma"/>
        </w:rPr>
        <w:t xml:space="preserve"> Un dépassement en </w:t>
      </w:r>
      <w:r w:rsidR="00FB068E">
        <w:rPr>
          <w:rFonts w:ascii="Tahoma" w:hAnsi="Tahoma" w:cs="Tahoma"/>
        </w:rPr>
        <w:t>clôture</w:t>
      </w:r>
      <w:r w:rsidR="00B96E81">
        <w:rPr>
          <w:rFonts w:ascii="Tahoma" w:hAnsi="Tahoma" w:cs="Tahoma"/>
        </w:rPr>
        <w:t xml:space="preserve"> mensuelle permettra alors d’envisager une </w:t>
      </w:r>
      <w:r w:rsidR="000D3811">
        <w:rPr>
          <w:rFonts w:ascii="Tahoma" w:hAnsi="Tahoma" w:cs="Tahoma"/>
        </w:rPr>
        <w:t>suite positive pour l’évolution du contrat Bund, même si d’autres résistances devront être dépassée</w:t>
      </w:r>
      <w:r w:rsidR="0066328E">
        <w:rPr>
          <w:rFonts w:ascii="Tahoma" w:hAnsi="Tahoma" w:cs="Tahoma"/>
        </w:rPr>
        <w:t>s</w:t>
      </w:r>
      <w:r w:rsidR="000D3811">
        <w:rPr>
          <w:rFonts w:ascii="Tahoma" w:hAnsi="Tahoma" w:cs="Tahoma"/>
        </w:rPr>
        <w:t xml:space="preserve"> pour envisag</w:t>
      </w:r>
      <w:r w:rsidR="0066328E">
        <w:rPr>
          <w:rFonts w:ascii="Tahoma" w:hAnsi="Tahoma" w:cs="Tahoma"/>
        </w:rPr>
        <w:t>er</w:t>
      </w:r>
      <w:r w:rsidR="000D3811">
        <w:rPr>
          <w:rFonts w:ascii="Tahoma" w:hAnsi="Tahoma" w:cs="Tahoma"/>
        </w:rPr>
        <w:t xml:space="preserve"> un retour des prix sur la bordure basse du nuage</w:t>
      </w:r>
      <w:r w:rsidR="00547291">
        <w:rPr>
          <w:rFonts w:ascii="Tahoma" w:hAnsi="Tahoma" w:cs="Tahoma"/>
        </w:rPr>
        <w:t xml:space="preserve"> (niveau de 150.50)</w:t>
      </w:r>
      <w:r w:rsidR="009F1E93">
        <w:rPr>
          <w:rFonts w:ascii="Tahoma" w:hAnsi="Tahoma" w:cs="Tahoma"/>
        </w:rPr>
        <w:t>.</w:t>
      </w:r>
    </w:p>
    <w:p w14:paraId="4361198A" w14:textId="12283FEE" w:rsidR="00725726" w:rsidRDefault="009F1E93" w:rsidP="00FF24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Techniquement, la bougie blanche du mois de novembre revient </w:t>
      </w:r>
      <w:r w:rsidR="00FB068E">
        <w:rPr>
          <w:rFonts w:ascii="Tahoma" w:hAnsi="Tahoma" w:cs="Tahoma"/>
        </w:rPr>
        <w:t>entièrement</w:t>
      </w:r>
      <w:r>
        <w:rPr>
          <w:rFonts w:ascii="Tahoma" w:hAnsi="Tahoma" w:cs="Tahoma"/>
        </w:rPr>
        <w:t xml:space="preserve"> </w:t>
      </w:r>
      <w:r w:rsidR="004460C9">
        <w:rPr>
          <w:rFonts w:ascii="Tahoma" w:hAnsi="Tahoma" w:cs="Tahoma"/>
        </w:rPr>
        <w:t xml:space="preserve">sur </w:t>
      </w:r>
      <w:r>
        <w:rPr>
          <w:rFonts w:ascii="Tahoma" w:hAnsi="Tahoma" w:cs="Tahoma"/>
        </w:rPr>
        <w:t>le chandelier noir du mois d’octobre.</w:t>
      </w:r>
      <w:r w:rsidR="00D03531">
        <w:rPr>
          <w:rFonts w:ascii="Tahoma" w:hAnsi="Tahoma" w:cs="Tahoma"/>
        </w:rPr>
        <w:t xml:space="preserve"> La fusion de ces </w:t>
      </w:r>
      <w:r w:rsidR="0066328E">
        <w:rPr>
          <w:rFonts w:ascii="Tahoma" w:hAnsi="Tahoma" w:cs="Tahoma"/>
        </w:rPr>
        <w:t xml:space="preserve">deux </w:t>
      </w:r>
      <w:r w:rsidR="00D03531">
        <w:rPr>
          <w:rFonts w:ascii="Tahoma" w:hAnsi="Tahoma" w:cs="Tahoma"/>
        </w:rPr>
        <w:t xml:space="preserve">chandelles donne un doji qui montre une nouvelle fois l’indécision des intervenants. </w:t>
      </w:r>
    </w:p>
    <w:p w14:paraId="7D698CB8" w14:textId="09E8D8A5" w:rsidR="00D03531" w:rsidRDefault="00D03531" w:rsidP="00FF24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Dans ce contexte, </w:t>
      </w:r>
      <w:r w:rsidR="0066328E">
        <w:rPr>
          <w:rFonts w:ascii="Tahoma" w:hAnsi="Tahoma" w:cs="Tahoma"/>
        </w:rPr>
        <w:t>un dépassement rapide de</w:t>
      </w:r>
      <w:r>
        <w:rPr>
          <w:rFonts w:ascii="Tahoma" w:hAnsi="Tahoma" w:cs="Tahoma"/>
        </w:rPr>
        <w:t xml:space="preserve"> la résistance de 138.00 </w:t>
      </w:r>
      <w:r w:rsidR="0066328E">
        <w:rPr>
          <w:rFonts w:ascii="Tahoma" w:hAnsi="Tahoma" w:cs="Tahoma"/>
        </w:rPr>
        <w:t xml:space="preserve">sera </w:t>
      </w:r>
      <w:r w:rsidR="00C621AE">
        <w:rPr>
          <w:rFonts w:ascii="Tahoma" w:hAnsi="Tahoma" w:cs="Tahoma"/>
        </w:rPr>
        <w:t>nécessaire</w:t>
      </w:r>
      <w:r w:rsidR="0066328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pour ne pas voir le doute des acheteurs se transformer en prise de profit. </w:t>
      </w:r>
    </w:p>
    <w:p w14:paraId="11023122" w14:textId="0F71B7D4" w:rsidR="00FF24D2" w:rsidRPr="00284A01" w:rsidRDefault="0007031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dépassement de 138.00 permettra de valider la rupture de la ligne de cou d’un double creux irrégulier</w:t>
      </w:r>
      <w:r w:rsidR="00F0680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dont l’objectif théorique sera </w:t>
      </w:r>
      <w:r w:rsidR="00E42B6E">
        <w:rPr>
          <w:rFonts w:ascii="Tahoma" w:hAnsi="Tahoma" w:cs="Tahoma"/>
        </w:rPr>
        <w:t xml:space="preserve">situé </w:t>
      </w:r>
      <w:r w:rsidR="00432034">
        <w:rPr>
          <w:rFonts w:ascii="Tahoma" w:hAnsi="Tahoma" w:cs="Tahoma"/>
        </w:rPr>
        <w:t>dans la zone des 147.50.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4430B7C" w:rsidR="00902D2F" w:rsidRDefault="000604A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9DFEC0B" wp14:editId="5473B68B">
            <wp:extent cx="5760720" cy="4320540"/>
            <wp:effectExtent l="0" t="0" r="0" b="3810"/>
            <wp:docPr id="1383911254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4D0A4B15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0604A4">
        <w:rPr>
          <w:rFonts w:ascii="Tahoma" w:hAnsi="Tahoma" w:cs="Tahoma"/>
        </w:rPr>
        <w:t>e scénario de dérive latérale de moyen terme, soutenu depuis un certain temps ne change pas</w:t>
      </w:r>
      <w:r w:rsidR="00BB2D80">
        <w:rPr>
          <w:rFonts w:ascii="Tahoma" w:hAnsi="Tahoma" w:cs="Tahoma"/>
        </w:rPr>
        <w:t xml:space="preserve"> avec le changement d’échéance</w:t>
      </w:r>
      <w:r w:rsidR="000604A4">
        <w:rPr>
          <w:rFonts w:ascii="Tahoma" w:hAnsi="Tahoma" w:cs="Tahoma"/>
        </w:rPr>
        <w:t xml:space="preserve">. </w:t>
      </w:r>
      <w:r w:rsidR="00FB068E">
        <w:rPr>
          <w:rFonts w:ascii="Tahoma" w:hAnsi="Tahoma" w:cs="Tahoma"/>
        </w:rPr>
        <w:t>Seuls les points</w:t>
      </w:r>
      <w:r w:rsidR="000604A4">
        <w:rPr>
          <w:rFonts w:ascii="Tahoma" w:hAnsi="Tahoma" w:cs="Tahoma"/>
        </w:rPr>
        <w:t xml:space="preserve"> ont évolué </w:t>
      </w:r>
      <w:r w:rsidR="00C621AE">
        <w:rPr>
          <w:rFonts w:ascii="Tahoma" w:hAnsi="Tahoma" w:cs="Tahoma"/>
        </w:rPr>
        <w:t>après</w:t>
      </w:r>
      <w:r w:rsidR="000604A4">
        <w:rPr>
          <w:rFonts w:ascii="Tahoma" w:hAnsi="Tahoma" w:cs="Tahoma"/>
        </w:rPr>
        <w:t xml:space="preserve"> </w:t>
      </w:r>
      <w:r w:rsidR="00BB2D80">
        <w:rPr>
          <w:rFonts w:ascii="Tahoma" w:hAnsi="Tahoma" w:cs="Tahoma"/>
        </w:rPr>
        <w:t>c</w:t>
      </w:r>
      <w:r w:rsidR="000604A4">
        <w:rPr>
          <w:rFonts w:ascii="Tahoma" w:hAnsi="Tahoma" w:cs="Tahoma"/>
        </w:rPr>
        <w:t>e changement.</w:t>
      </w:r>
    </w:p>
    <w:p w14:paraId="720B012A" w14:textId="09E5F871" w:rsidR="000604A4" w:rsidRDefault="000604A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sur cette unité de temps, nous avons un support sur 128.40 et une résistance sur 139.09. Ces points sont matérialisés sur le graphique par </w:t>
      </w:r>
      <w:r w:rsidR="009C0859">
        <w:rPr>
          <w:rFonts w:ascii="Tahoma" w:hAnsi="Tahoma" w:cs="Tahoma"/>
        </w:rPr>
        <w:t>l</w:t>
      </w:r>
      <w:r>
        <w:rPr>
          <w:rFonts w:ascii="Tahoma" w:hAnsi="Tahoma" w:cs="Tahoma"/>
        </w:rPr>
        <w:t>es lignes rouges. La zone d’équilibre est concrétisée par un plat de KS passée et un plat de SSB, toutes deux sur 134.29.</w:t>
      </w:r>
    </w:p>
    <w:p w14:paraId="1F5A01E6" w14:textId="373F0D8E" w:rsidR="00C1364A" w:rsidRDefault="00C1364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position des prix par rapport au point d’équilibre de 134.29 permet</w:t>
      </w:r>
      <w:r w:rsidR="002321F5">
        <w:rPr>
          <w:rFonts w:ascii="Tahoma" w:hAnsi="Tahoma" w:cs="Tahoma"/>
        </w:rPr>
        <w:t>tra</w:t>
      </w:r>
      <w:r>
        <w:rPr>
          <w:rFonts w:ascii="Tahoma" w:hAnsi="Tahoma" w:cs="Tahoma"/>
        </w:rPr>
        <w:t xml:space="preserve"> d’envisager la hausse en direction de la résistance ou la baisse vers le support.</w:t>
      </w:r>
    </w:p>
    <w:p w14:paraId="1E5A97E4" w14:textId="76793F57" w:rsidR="00C1364A" w:rsidRDefault="00C1364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Lors de ma dernière analyse (qui date de plusieurs semaines), les prix se situaient sous le point d’équilibre, ils </w:t>
      </w:r>
      <w:r w:rsidR="00FB068E">
        <w:rPr>
          <w:rFonts w:ascii="Tahoma" w:hAnsi="Tahoma" w:cs="Tahoma"/>
        </w:rPr>
        <w:t>donnaient</w:t>
      </w:r>
      <w:r>
        <w:rPr>
          <w:rFonts w:ascii="Tahoma" w:hAnsi="Tahoma" w:cs="Tahoma"/>
        </w:rPr>
        <w:t xml:space="preserve"> un </w:t>
      </w:r>
      <w:r w:rsidR="00FB068E">
        <w:rPr>
          <w:rFonts w:ascii="Tahoma" w:hAnsi="Tahoma" w:cs="Tahoma"/>
        </w:rPr>
        <w:t>léger</w:t>
      </w:r>
      <w:r>
        <w:rPr>
          <w:rFonts w:ascii="Tahoma" w:hAnsi="Tahoma" w:cs="Tahoma"/>
        </w:rPr>
        <w:t xml:space="preserve"> avantage à la baisse sans pour autant impliquer obligatoirement </w:t>
      </w:r>
      <w:r w:rsidR="002321F5">
        <w:rPr>
          <w:rFonts w:ascii="Tahoma" w:hAnsi="Tahoma" w:cs="Tahoma"/>
        </w:rPr>
        <w:t>un</w:t>
      </w:r>
      <w:r>
        <w:rPr>
          <w:rFonts w:ascii="Tahoma" w:hAnsi="Tahoma" w:cs="Tahoma"/>
        </w:rPr>
        <w:t xml:space="preserve"> mouvement</w:t>
      </w:r>
      <w:r w:rsidR="002321F5">
        <w:rPr>
          <w:rFonts w:ascii="Tahoma" w:hAnsi="Tahoma" w:cs="Tahoma"/>
        </w:rPr>
        <w:t xml:space="preserve"> étendu jusqu’au support</w:t>
      </w:r>
      <w:r>
        <w:rPr>
          <w:rFonts w:ascii="Tahoma" w:hAnsi="Tahoma" w:cs="Tahoma"/>
        </w:rPr>
        <w:t xml:space="preserve">. </w:t>
      </w:r>
    </w:p>
    <w:p w14:paraId="0CF6319E" w14:textId="539B4424" w:rsidR="00FB64D9" w:rsidRDefault="00E469C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Aujourd’hui le dépassement de 134.29 donne plus d’espace à un poursuite de la hausse en direction de 139.09, borne haute de la consolidation.</w:t>
      </w:r>
    </w:p>
    <w:p w14:paraId="374D1F17" w14:textId="3A86029B" w:rsidR="00583BC8" w:rsidRDefault="00FB64D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attention à </w:t>
      </w:r>
      <w:r w:rsidR="00F2240F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dernière semaine </w:t>
      </w:r>
      <w:r w:rsidR="00F2240F">
        <w:rPr>
          <w:rFonts w:ascii="Tahoma" w:hAnsi="Tahoma" w:cs="Tahoma"/>
        </w:rPr>
        <w:t xml:space="preserve">d’échange </w:t>
      </w:r>
      <w:r>
        <w:rPr>
          <w:rFonts w:ascii="Tahoma" w:hAnsi="Tahoma" w:cs="Tahoma"/>
        </w:rPr>
        <w:t>qui s</w:t>
      </w:r>
      <w:r w:rsidR="00F2240F">
        <w:rPr>
          <w:rFonts w:ascii="Tahoma" w:hAnsi="Tahoma" w:cs="Tahoma"/>
        </w:rPr>
        <w:t>’</w:t>
      </w:r>
      <w:r>
        <w:rPr>
          <w:rFonts w:ascii="Tahoma" w:hAnsi="Tahoma" w:cs="Tahoma"/>
        </w:rPr>
        <w:t>e</w:t>
      </w:r>
      <w:r w:rsidR="00F2240F">
        <w:rPr>
          <w:rFonts w:ascii="Tahoma" w:hAnsi="Tahoma" w:cs="Tahoma"/>
        </w:rPr>
        <w:t>st</w:t>
      </w:r>
      <w:r>
        <w:rPr>
          <w:rFonts w:ascii="Tahoma" w:hAnsi="Tahoma" w:cs="Tahoma"/>
        </w:rPr>
        <w:t xml:space="preserve"> traduit</w:t>
      </w:r>
      <w:r w:rsidR="00F2240F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un harami en forme d’étoile filante. Après </w:t>
      </w:r>
      <w:r w:rsidR="00FB068E">
        <w:rPr>
          <w:rFonts w:ascii="Tahoma" w:hAnsi="Tahoma" w:cs="Tahoma"/>
        </w:rPr>
        <w:t>plusieurs semaines</w:t>
      </w:r>
      <w:r>
        <w:rPr>
          <w:rFonts w:ascii="Tahoma" w:hAnsi="Tahoma" w:cs="Tahoma"/>
        </w:rPr>
        <w:t xml:space="preserve"> de hausse, le marché </w:t>
      </w:r>
      <w:r w:rsidR="00452CD9">
        <w:rPr>
          <w:rFonts w:ascii="Tahoma" w:hAnsi="Tahoma" w:cs="Tahoma"/>
        </w:rPr>
        <w:t xml:space="preserve">parait devoir souffler. Le dernier </w:t>
      </w:r>
      <w:r w:rsidR="00452CD9">
        <w:rPr>
          <w:rFonts w:ascii="Tahoma" w:hAnsi="Tahoma" w:cs="Tahoma"/>
        </w:rPr>
        <w:lastRenderedPageBreak/>
        <w:t xml:space="preserve">chandelier blanc nous servira </w:t>
      </w:r>
      <w:r w:rsidR="001F7A8B">
        <w:rPr>
          <w:rFonts w:ascii="Tahoma" w:hAnsi="Tahoma" w:cs="Tahoma"/>
        </w:rPr>
        <w:t>ainsi</w:t>
      </w:r>
      <w:r w:rsidR="00452CD9">
        <w:rPr>
          <w:rFonts w:ascii="Tahoma" w:hAnsi="Tahoma" w:cs="Tahoma"/>
        </w:rPr>
        <w:t xml:space="preserve"> d’indicateur sur la puissance du rapport de force qui avantage aujourd’hui les acheteurs. Un maintien du contrat </w:t>
      </w:r>
      <w:r w:rsidR="00FB068E">
        <w:rPr>
          <w:rFonts w:ascii="Tahoma" w:hAnsi="Tahoma" w:cs="Tahoma"/>
        </w:rPr>
        <w:t>au-dessus</w:t>
      </w:r>
      <w:r w:rsidR="00452CD9">
        <w:rPr>
          <w:rFonts w:ascii="Tahoma" w:hAnsi="Tahoma" w:cs="Tahoma"/>
        </w:rPr>
        <w:t xml:space="preserve"> de</w:t>
      </w:r>
      <w:r w:rsidR="00374ACE">
        <w:rPr>
          <w:rFonts w:ascii="Tahoma" w:hAnsi="Tahoma" w:cs="Tahoma"/>
        </w:rPr>
        <w:t xml:space="preserve"> 135.38</w:t>
      </w:r>
      <w:r w:rsidR="00452CD9">
        <w:rPr>
          <w:rFonts w:ascii="Tahoma" w:hAnsi="Tahoma" w:cs="Tahoma"/>
        </w:rPr>
        <w:t xml:space="preserve"> permettra d’envisager un dépassement de </w:t>
      </w:r>
      <w:r w:rsidR="00374ACE">
        <w:rPr>
          <w:rFonts w:ascii="Tahoma" w:hAnsi="Tahoma" w:cs="Tahoma"/>
        </w:rPr>
        <w:t xml:space="preserve">136.47, </w:t>
      </w:r>
      <w:r w:rsidR="00452CD9">
        <w:rPr>
          <w:rFonts w:ascii="Tahoma" w:hAnsi="Tahoma" w:cs="Tahoma"/>
        </w:rPr>
        <w:t>point haut du chandelier blanc et dans la foulée une reprise de la hausse. Un retour sur la base de la chandelle de</w:t>
      </w:r>
      <w:r w:rsidR="00374ACE">
        <w:rPr>
          <w:rFonts w:ascii="Tahoma" w:hAnsi="Tahoma" w:cs="Tahoma"/>
        </w:rPr>
        <w:t xml:space="preserve"> 134.84 </w:t>
      </w:r>
      <w:r w:rsidR="00452CD9">
        <w:rPr>
          <w:rFonts w:ascii="Tahoma" w:hAnsi="Tahoma" w:cs="Tahoma"/>
        </w:rPr>
        <w:t>ne remettra pas en question l’avantage du rapport de force mais indiquera le besoin de faire une pause avant de repartir</w:t>
      </w:r>
      <w:r w:rsidR="00FA1254">
        <w:rPr>
          <w:rFonts w:ascii="Tahoma" w:hAnsi="Tahoma" w:cs="Tahoma"/>
        </w:rPr>
        <w:t>.</w:t>
      </w:r>
    </w:p>
    <w:p w14:paraId="5DE778F1" w14:textId="2EAE2221" w:rsidR="00FA1254" w:rsidRDefault="00FA125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 le plat de SSB </w:t>
      </w:r>
      <w:r w:rsidR="001F7A8B">
        <w:rPr>
          <w:rFonts w:ascii="Tahoma" w:hAnsi="Tahoma" w:cs="Tahoma"/>
        </w:rPr>
        <w:t xml:space="preserve">de 134.29 </w:t>
      </w:r>
      <w:r>
        <w:rPr>
          <w:rFonts w:ascii="Tahoma" w:hAnsi="Tahoma" w:cs="Tahoma"/>
        </w:rPr>
        <w:t xml:space="preserve">sera toujours là pour servir de support en cas de correction </w:t>
      </w:r>
      <w:r w:rsidR="001F7A8B">
        <w:rPr>
          <w:rFonts w:ascii="Tahoma" w:hAnsi="Tahoma" w:cs="Tahoma"/>
        </w:rPr>
        <w:t xml:space="preserve">plus étendue </w:t>
      </w:r>
      <w:r>
        <w:rPr>
          <w:rFonts w:ascii="Tahoma" w:hAnsi="Tahoma" w:cs="Tahoma"/>
        </w:rPr>
        <w:t xml:space="preserve">de </w:t>
      </w:r>
      <w:r w:rsidR="001F7A8B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dernière hausse. 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7BF1A7A" w:rsidR="00583BC8" w:rsidRDefault="00FF24D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4B0722E" wp14:editId="185BD6B1">
            <wp:extent cx="5760720" cy="4320540"/>
            <wp:effectExtent l="0" t="0" r="0" b="3810"/>
            <wp:docPr id="54268746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B9766" w14:textId="753E42E5" w:rsidR="00723F77" w:rsidRDefault="0099637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court terme quant à lui nous donne la direction que prendra le moyen terme au sein de la dérive latérale.</w:t>
      </w:r>
    </w:p>
    <w:p w14:paraId="42C06118" w14:textId="20BD4DDE" w:rsidR="00996373" w:rsidRDefault="0099637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un fort mouvement de hausse qui a pris naissance </w:t>
      </w:r>
      <w:r w:rsidR="00FB068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la zone support de </w:t>
      </w:r>
      <w:r w:rsidR="00132059">
        <w:rPr>
          <w:rFonts w:ascii="Tahoma" w:hAnsi="Tahoma" w:cs="Tahoma"/>
        </w:rPr>
        <w:t>133.00, les prix ont touché un point haut à 136.99 avant de corriger.</w:t>
      </w:r>
    </w:p>
    <w:p w14:paraId="1FF4656D" w14:textId="4CBA6D99" w:rsidR="001F73BA" w:rsidRDefault="001F73BA" w:rsidP="001F7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dépassement du nuage par les prix et par la LS donne au marché </w:t>
      </w:r>
      <w:r w:rsidR="00233AD7">
        <w:rPr>
          <w:rFonts w:ascii="Tahoma" w:hAnsi="Tahoma" w:cs="Tahoma"/>
        </w:rPr>
        <w:t>une configuration</w:t>
      </w:r>
      <w:r>
        <w:rPr>
          <w:rFonts w:ascii="Tahoma" w:hAnsi="Tahoma" w:cs="Tahoma"/>
        </w:rPr>
        <w:t xml:space="preserve"> positi</w:t>
      </w:r>
      <w:r w:rsidR="00233AD7">
        <w:rPr>
          <w:rFonts w:ascii="Tahoma" w:hAnsi="Tahoma" w:cs="Tahoma"/>
        </w:rPr>
        <w:t>ve</w:t>
      </w:r>
      <w:r>
        <w:rPr>
          <w:rFonts w:ascii="Tahoma" w:hAnsi="Tahoma" w:cs="Tahoma"/>
        </w:rPr>
        <w:t xml:space="preserve"> qui </w:t>
      </w:r>
      <w:r w:rsidR="00233AD7">
        <w:rPr>
          <w:rFonts w:ascii="Tahoma" w:hAnsi="Tahoma" w:cs="Tahoma"/>
        </w:rPr>
        <w:t xml:space="preserve">montrera des signes d’affaiblissement qu’après une </w:t>
      </w:r>
      <w:r w:rsidR="00FB068E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sous 135.86 soit </w:t>
      </w:r>
      <w:r w:rsidR="00233AD7">
        <w:rPr>
          <w:rFonts w:ascii="Tahoma" w:hAnsi="Tahoma" w:cs="Tahoma"/>
        </w:rPr>
        <w:t xml:space="preserve">le support matérialisé par </w:t>
      </w:r>
      <w:r>
        <w:rPr>
          <w:rFonts w:ascii="Tahoma" w:hAnsi="Tahoma" w:cs="Tahoma"/>
        </w:rPr>
        <w:t xml:space="preserve">la SSA de la LS. La vraie remise en cause de la hausse passera par </w:t>
      </w:r>
      <w:r w:rsidR="00FB068E">
        <w:rPr>
          <w:rFonts w:ascii="Tahoma" w:hAnsi="Tahoma" w:cs="Tahoma"/>
        </w:rPr>
        <w:t>une rupture</w:t>
      </w:r>
      <w:r>
        <w:rPr>
          <w:rFonts w:ascii="Tahoma" w:hAnsi="Tahoma" w:cs="Tahoma"/>
        </w:rPr>
        <w:t xml:space="preserve"> du plat de SSB qui se situe sur 134.92.</w:t>
      </w:r>
    </w:p>
    <w:p w14:paraId="35B79F66" w14:textId="5EF615C2" w:rsidR="001F73BA" w:rsidRDefault="001F73BA" w:rsidP="001F7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pour le moment, rien ne permet d’envisager un rebond du contrat. L’enchainement de bougies noires sous forme d’alerte baissière et </w:t>
      </w:r>
      <w:r w:rsidR="00F22CA3">
        <w:rPr>
          <w:rFonts w:ascii="Tahoma" w:hAnsi="Tahoma" w:cs="Tahoma"/>
        </w:rPr>
        <w:t>de lignes</w:t>
      </w:r>
      <w:r>
        <w:rPr>
          <w:rFonts w:ascii="Tahoma" w:hAnsi="Tahoma" w:cs="Tahoma"/>
        </w:rPr>
        <w:t xml:space="preserve"> de retournement laisse peu de place </w:t>
      </w:r>
      <w:r>
        <w:rPr>
          <w:rFonts w:ascii="Tahoma" w:hAnsi="Tahoma" w:cs="Tahoma"/>
        </w:rPr>
        <w:lastRenderedPageBreak/>
        <w:t xml:space="preserve">à une nouvelle vague de hausse. Cet </w:t>
      </w:r>
      <w:r w:rsidR="00BA1A74">
        <w:rPr>
          <w:rFonts w:ascii="Tahoma" w:hAnsi="Tahoma" w:cs="Tahoma"/>
        </w:rPr>
        <w:t>enchainement</w:t>
      </w:r>
      <w:r>
        <w:rPr>
          <w:rFonts w:ascii="Tahoma" w:hAnsi="Tahoma" w:cs="Tahoma"/>
        </w:rPr>
        <w:t xml:space="preserve"> négati</w:t>
      </w:r>
      <w:r w:rsidR="00BA1A74">
        <w:rPr>
          <w:rFonts w:ascii="Tahoma" w:hAnsi="Tahoma" w:cs="Tahoma"/>
        </w:rPr>
        <w:t>f</w:t>
      </w:r>
      <w:r>
        <w:rPr>
          <w:rFonts w:ascii="Tahoma" w:hAnsi="Tahoma" w:cs="Tahoma"/>
        </w:rPr>
        <w:t xml:space="preserve"> de bougie est renforcé par un indicateur technique divergent en zone de surachat.</w:t>
      </w:r>
    </w:p>
    <w:p w14:paraId="430B9250" w14:textId="659905FB" w:rsidR="005038AB" w:rsidRDefault="005038AB" w:rsidP="001F73B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Cela </w:t>
      </w:r>
      <w:r w:rsidR="00BA1A74">
        <w:rPr>
          <w:rFonts w:ascii="Tahoma" w:hAnsi="Tahoma" w:cs="Tahoma"/>
        </w:rPr>
        <w:t>tout cela avantage</w:t>
      </w:r>
      <w:r>
        <w:rPr>
          <w:rFonts w:ascii="Tahoma" w:hAnsi="Tahoma" w:cs="Tahoma"/>
        </w:rPr>
        <w:t xml:space="preserve"> une poursuite de la baisse en cassure de 135.86 en direction de 134.92.</w:t>
      </w:r>
    </w:p>
    <w:p w14:paraId="707E500F" w14:textId="77777777" w:rsidR="00996373" w:rsidRDefault="00996373" w:rsidP="00041E45">
      <w:pPr>
        <w:jc w:val="both"/>
        <w:rPr>
          <w:rFonts w:ascii="Tahoma" w:hAnsi="Tahoma" w:cs="Tahoma"/>
        </w:rPr>
      </w:pPr>
    </w:p>
    <w:p w14:paraId="258EB8FF" w14:textId="1C988C3E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038AB">
        <w:rPr>
          <w:rFonts w:ascii="Tahoma" w:hAnsi="Tahoma" w:cs="Tahoma"/>
        </w:rPr>
        <w:t xml:space="preserve"> La forte hausse récente du marché doit marquer une pause pour consolider avant de repartir.</w:t>
      </w:r>
      <w:r w:rsidR="002644C2">
        <w:rPr>
          <w:rFonts w:ascii="Tahoma" w:hAnsi="Tahoma" w:cs="Tahoma"/>
        </w:rPr>
        <w:t xml:space="preserve"> </w:t>
      </w:r>
      <w:r w:rsidR="00C557A3">
        <w:rPr>
          <w:rFonts w:ascii="Tahoma" w:hAnsi="Tahoma" w:cs="Tahoma"/>
        </w:rPr>
        <w:t xml:space="preserve">La baisse s’inscrira dans un contexte correctif sur le court terme </w:t>
      </w:r>
      <w:r w:rsidR="00FB068E">
        <w:rPr>
          <w:rFonts w:ascii="Tahoma" w:hAnsi="Tahoma" w:cs="Tahoma"/>
        </w:rPr>
        <w:t>au-dessus</w:t>
      </w:r>
      <w:r w:rsidR="00C557A3">
        <w:rPr>
          <w:rFonts w:ascii="Tahoma" w:hAnsi="Tahoma" w:cs="Tahoma"/>
        </w:rPr>
        <w:t xml:space="preserve"> de 134.92. Sur le moyen terme, la dérive latérale se poursuit avec un point d’équilibre sur 134.29 </w:t>
      </w:r>
      <w:r w:rsidR="00F156E7">
        <w:rPr>
          <w:rFonts w:ascii="Tahoma" w:hAnsi="Tahoma" w:cs="Tahoma"/>
        </w:rPr>
        <w:t xml:space="preserve">(renforcé par le long terme ) </w:t>
      </w:r>
      <w:r w:rsidR="00C557A3">
        <w:rPr>
          <w:rFonts w:ascii="Tahoma" w:hAnsi="Tahoma" w:cs="Tahoma"/>
        </w:rPr>
        <w:t>qui servira éventuellement de support en rupture du 134.92 de court terme.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72B0"/>
    <w:rsid w:val="000524C5"/>
    <w:rsid w:val="000556C3"/>
    <w:rsid w:val="000604A4"/>
    <w:rsid w:val="00070310"/>
    <w:rsid w:val="000833FB"/>
    <w:rsid w:val="00092058"/>
    <w:rsid w:val="000938CC"/>
    <w:rsid w:val="000B221E"/>
    <w:rsid w:val="000B7DFC"/>
    <w:rsid w:val="000C0DE4"/>
    <w:rsid w:val="000D3811"/>
    <w:rsid w:val="000D4ED3"/>
    <w:rsid w:val="001018AD"/>
    <w:rsid w:val="00103ED4"/>
    <w:rsid w:val="00105B4E"/>
    <w:rsid w:val="00132059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1F73BA"/>
    <w:rsid w:val="001F7A8B"/>
    <w:rsid w:val="002003AD"/>
    <w:rsid w:val="002321F5"/>
    <w:rsid w:val="00233AD7"/>
    <w:rsid w:val="002421FE"/>
    <w:rsid w:val="00262E25"/>
    <w:rsid w:val="00263ED0"/>
    <w:rsid w:val="002644C2"/>
    <w:rsid w:val="00284A01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4ACE"/>
    <w:rsid w:val="003767E0"/>
    <w:rsid w:val="00397D3D"/>
    <w:rsid w:val="0040171B"/>
    <w:rsid w:val="00432034"/>
    <w:rsid w:val="004460C9"/>
    <w:rsid w:val="00452CD9"/>
    <w:rsid w:val="00467005"/>
    <w:rsid w:val="004A2D2D"/>
    <w:rsid w:val="004A5154"/>
    <w:rsid w:val="004F48EE"/>
    <w:rsid w:val="005038AB"/>
    <w:rsid w:val="00531928"/>
    <w:rsid w:val="005440A4"/>
    <w:rsid w:val="00546A5A"/>
    <w:rsid w:val="00547291"/>
    <w:rsid w:val="00566580"/>
    <w:rsid w:val="00567AF3"/>
    <w:rsid w:val="00583BC8"/>
    <w:rsid w:val="005E1D5B"/>
    <w:rsid w:val="005F44AD"/>
    <w:rsid w:val="00654380"/>
    <w:rsid w:val="0066328E"/>
    <w:rsid w:val="00664BE1"/>
    <w:rsid w:val="006B055C"/>
    <w:rsid w:val="006C1DD0"/>
    <w:rsid w:val="006E32BB"/>
    <w:rsid w:val="006E38E0"/>
    <w:rsid w:val="00710599"/>
    <w:rsid w:val="00723F77"/>
    <w:rsid w:val="00725726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18B1"/>
    <w:rsid w:val="008A7407"/>
    <w:rsid w:val="008F10C2"/>
    <w:rsid w:val="00902D2F"/>
    <w:rsid w:val="00961FDF"/>
    <w:rsid w:val="00983B7D"/>
    <w:rsid w:val="00996373"/>
    <w:rsid w:val="009A37C2"/>
    <w:rsid w:val="009C0859"/>
    <w:rsid w:val="009F1E93"/>
    <w:rsid w:val="009F3AB8"/>
    <w:rsid w:val="00A11606"/>
    <w:rsid w:val="00A6401C"/>
    <w:rsid w:val="00A81AB7"/>
    <w:rsid w:val="00AA522C"/>
    <w:rsid w:val="00AE7F3B"/>
    <w:rsid w:val="00B2494D"/>
    <w:rsid w:val="00B34260"/>
    <w:rsid w:val="00B41C02"/>
    <w:rsid w:val="00B4335A"/>
    <w:rsid w:val="00B50E38"/>
    <w:rsid w:val="00B554B8"/>
    <w:rsid w:val="00B64EE0"/>
    <w:rsid w:val="00B94D71"/>
    <w:rsid w:val="00B96E81"/>
    <w:rsid w:val="00BA1A74"/>
    <w:rsid w:val="00BB0E32"/>
    <w:rsid w:val="00BB2D80"/>
    <w:rsid w:val="00BB6D9D"/>
    <w:rsid w:val="00BC77A5"/>
    <w:rsid w:val="00BD3FC1"/>
    <w:rsid w:val="00C1364A"/>
    <w:rsid w:val="00C17ED7"/>
    <w:rsid w:val="00C41F15"/>
    <w:rsid w:val="00C557A3"/>
    <w:rsid w:val="00C57956"/>
    <w:rsid w:val="00C621AE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03531"/>
    <w:rsid w:val="00D23B28"/>
    <w:rsid w:val="00D46C8D"/>
    <w:rsid w:val="00DA1359"/>
    <w:rsid w:val="00DE5444"/>
    <w:rsid w:val="00DF072F"/>
    <w:rsid w:val="00E32014"/>
    <w:rsid w:val="00E3727C"/>
    <w:rsid w:val="00E42B6E"/>
    <w:rsid w:val="00E469C5"/>
    <w:rsid w:val="00EB58BA"/>
    <w:rsid w:val="00EE6B93"/>
    <w:rsid w:val="00F04A6E"/>
    <w:rsid w:val="00F04DEF"/>
    <w:rsid w:val="00F06800"/>
    <w:rsid w:val="00F156E7"/>
    <w:rsid w:val="00F2240F"/>
    <w:rsid w:val="00F22CA3"/>
    <w:rsid w:val="00F31070"/>
    <w:rsid w:val="00F53F10"/>
    <w:rsid w:val="00F636F8"/>
    <w:rsid w:val="00FA1254"/>
    <w:rsid w:val="00FA2C8E"/>
    <w:rsid w:val="00FB068E"/>
    <w:rsid w:val="00FB64D9"/>
    <w:rsid w:val="00FC1860"/>
    <w:rsid w:val="00FC7EA5"/>
    <w:rsid w:val="00FF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5</Pages>
  <Words>875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142</cp:revision>
  <dcterms:created xsi:type="dcterms:W3CDTF">2021-11-25T09:44:00Z</dcterms:created>
  <dcterms:modified xsi:type="dcterms:W3CDTF">2024-12-08T11:40:00Z</dcterms:modified>
</cp:coreProperties>
</file>