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2FE391C" w:rsidR="00902D2F" w:rsidRDefault="00FA2430" w:rsidP="00B41C02">
      <w:pPr>
        <w:jc w:val="both"/>
        <w:rPr>
          <w:rFonts w:ascii="Tahoma" w:hAnsi="Tahoma" w:cs="Tahoma"/>
        </w:rPr>
      </w:pPr>
      <w:r>
        <w:rPr>
          <w:noProof/>
        </w:rPr>
        <w:drawing>
          <wp:inline distT="0" distB="0" distL="0" distR="0" wp14:anchorId="25E8B4C0" wp14:editId="2901D7CB">
            <wp:extent cx="5760720" cy="4320540"/>
            <wp:effectExtent l="0" t="0" r="0" b="3810"/>
            <wp:docPr id="38924782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2B4FF5E8" w:rsidR="006E32BB" w:rsidRDefault="004D53C4" w:rsidP="00B41C02">
      <w:pPr>
        <w:jc w:val="both"/>
        <w:rPr>
          <w:rFonts w:ascii="Tahoma" w:hAnsi="Tahoma" w:cs="Tahoma"/>
        </w:rPr>
      </w:pPr>
      <w:r>
        <w:rPr>
          <w:rFonts w:ascii="Tahoma" w:hAnsi="Tahoma" w:cs="Tahoma"/>
        </w:rPr>
        <w:t>Les pointillés représentent les supports et résistances de long terme. Sur le graphique, 138.00 matérialise un plat de KS passée en données mensuelles.</w:t>
      </w:r>
    </w:p>
    <w:p w14:paraId="6DE94460" w14:textId="452BA7DA" w:rsidR="004D53C4" w:rsidRDefault="00AB7A8D" w:rsidP="00B41C02">
      <w:pPr>
        <w:jc w:val="both"/>
        <w:rPr>
          <w:rFonts w:ascii="Tahoma" w:hAnsi="Tahoma" w:cs="Tahoma"/>
        </w:rPr>
      </w:pPr>
      <w:r>
        <w:rPr>
          <w:rFonts w:ascii="Tahoma" w:hAnsi="Tahoma" w:cs="Tahoma"/>
        </w:rPr>
        <w:t>C</w:t>
      </w:r>
      <w:r>
        <w:rPr>
          <w:rFonts w:ascii="Tahoma" w:hAnsi="Tahoma" w:cs="Tahoma"/>
        </w:rPr>
        <w:t>omme chaque année</w:t>
      </w:r>
      <w:r>
        <w:rPr>
          <w:rFonts w:ascii="Tahoma" w:hAnsi="Tahoma" w:cs="Tahoma"/>
        </w:rPr>
        <w:t>,</w:t>
      </w:r>
      <w:r>
        <w:rPr>
          <w:rFonts w:ascii="Tahoma" w:hAnsi="Tahoma" w:cs="Tahoma"/>
        </w:rPr>
        <w:t xml:space="preserve"> </w:t>
      </w:r>
      <w:r>
        <w:rPr>
          <w:rFonts w:ascii="Tahoma" w:hAnsi="Tahoma" w:cs="Tahoma"/>
        </w:rPr>
        <w:t>l’</w:t>
      </w:r>
      <w:r w:rsidR="00296077">
        <w:rPr>
          <w:rFonts w:ascii="Tahoma" w:hAnsi="Tahoma" w:cs="Tahoma"/>
        </w:rPr>
        <w:t>évolution</w:t>
      </w:r>
      <w:r>
        <w:rPr>
          <w:rFonts w:ascii="Tahoma" w:hAnsi="Tahoma" w:cs="Tahoma"/>
        </w:rPr>
        <w:t xml:space="preserve"> des cours à la fin du mois de décembre n’est pas représentative du rapport de force entre acheteurs et vendeurs. La baisse du volume nous indique que la plupart des gestions </w:t>
      </w:r>
      <w:r w:rsidR="00F87EB2">
        <w:rPr>
          <w:rFonts w:ascii="Tahoma" w:hAnsi="Tahoma" w:cs="Tahoma"/>
        </w:rPr>
        <w:t xml:space="preserve">cherche à figer leur performance </w:t>
      </w:r>
      <w:r w:rsidR="00296077">
        <w:rPr>
          <w:rFonts w:ascii="Tahoma" w:hAnsi="Tahoma" w:cs="Tahoma"/>
        </w:rPr>
        <w:t>annuelle</w:t>
      </w:r>
      <w:r w:rsidR="00F87EB2">
        <w:rPr>
          <w:rFonts w:ascii="Tahoma" w:hAnsi="Tahoma" w:cs="Tahoma"/>
        </w:rPr>
        <w:t xml:space="preserve"> et évite de </w:t>
      </w:r>
      <w:r w:rsidR="00024835">
        <w:rPr>
          <w:rFonts w:ascii="Tahoma" w:hAnsi="Tahoma" w:cs="Tahoma"/>
        </w:rPr>
        <w:t>prendre</w:t>
      </w:r>
      <w:r w:rsidR="00F87EB2">
        <w:rPr>
          <w:rFonts w:ascii="Tahoma" w:hAnsi="Tahoma" w:cs="Tahoma"/>
        </w:rPr>
        <w:t xml:space="preserve"> de nouveaux</w:t>
      </w:r>
      <w:r w:rsidR="00024835">
        <w:rPr>
          <w:rFonts w:ascii="Tahoma" w:hAnsi="Tahoma" w:cs="Tahoma"/>
        </w:rPr>
        <w:t xml:space="preserve"> risques</w:t>
      </w:r>
      <w:r w:rsidR="00F87EB2">
        <w:rPr>
          <w:rFonts w:ascii="Tahoma" w:hAnsi="Tahoma" w:cs="Tahoma"/>
        </w:rPr>
        <w:t>.</w:t>
      </w:r>
      <w:r w:rsidR="00024835">
        <w:rPr>
          <w:rFonts w:ascii="Tahoma" w:hAnsi="Tahoma" w:cs="Tahoma"/>
        </w:rPr>
        <w:t xml:space="preserve"> </w:t>
      </w:r>
    </w:p>
    <w:p w14:paraId="7AC4D2D2" w14:textId="3512212F" w:rsidR="00DF072F" w:rsidRDefault="009822D9" w:rsidP="00B41C02">
      <w:pPr>
        <w:jc w:val="both"/>
        <w:rPr>
          <w:rFonts w:ascii="Tahoma" w:hAnsi="Tahoma" w:cs="Tahoma"/>
        </w:rPr>
      </w:pPr>
      <w:r>
        <w:rPr>
          <w:rFonts w:ascii="Tahoma" w:hAnsi="Tahoma" w:cs="Tahoma"/>
        </w:rPr>
        <w:t xml:space="preserve">Quoi qu’il en soit, le marché </w:t>
      </w:r>
      <w:r w:rsidR="00296077">
        <w:rPr>
          <w:rFonts w:ascii="Tahoma" w:hAnsi="Tahoma" w:cs="Tahoma"/>
        </w:rPr>
        <w:t>évolue</w:t>
      </w:r>
      <w:r>
        <w:rPr>
          <w:rFonts w:ascii="Tahoma" w:hAnsi="Tahoma" w:cs="Tahoma"/>
        </w:rPr>
        <w:t xml:space="preserve"> toujours au sein d’un</w:t>
      </w:r>
      <w:r w:rsidR="003030E2">
        <w:rPr>
          <w:rFonts w:ascii="Tahoma" w:hAnsi="Tahoma" w:cs="Tahoma"/>
        </w:rPr>
        <w:t>e</w:t>
      </w:r>
      <w:r>
        <w:rPr>
          <w:rFonts w:ascii="Tahoma" w:hAnsi="Tahoma" w:cs="Tahoma"/>
        </w:rPr>
        <w:t xml:space="preserve"> dérive latérale de moyen terme cadrée par les lignes rouges</w:t>
      </w:r>
      <w:r w:rsidR="003030E2">
        <w:rPr>
          <w:rFonts w:ascii="Tahoma" w:hAnsi="Tahoma" w:cs="Tahoma"/>
        </w:rPr>
        <w:t>.</w:t>
      </w:r>
      <w:r>
        <w:rPr>
          <w:rFonts w:ascii="Tahoma" w:hAnsi="Tahoma" w:cs="Tahoma"/>
        </w:rPr>
        <w:t xml:space="preserve"> </w:t>
      </w:r>
      <w:r w:rsidR="003030E2">
        <w:rPr>
          <w:rFonts w:ascii="Tahoma" w:hAnsi="Tahoma" w:cs="Tahoma"/>
        </w:rPr>
        <w:t>E</w:t>
      </w:r>
      <w:r>
        <w:rPr>
          <w:rFonts w:ascii="Tahoma" w:hAnsi="Tahoma" w:cs="Tahoma"/>
        </w:rPr>
        <w:t>n ce qui concerne le Bund</w:t>
      </w:r>
      <w:r w:rsidR="003030E2">
        <w:rPr>
          <w:rFonts w:ascii="Tahoma" w:hAnsi="Tahoma" w:cs="Tahoma"/>
        </w:rPr>
        <w:t xml:space="preserve"> nous avons</w:t>
      </w:r>
      <w:r>
        <w:rPr>
          <w:rFonts w:ascii="Tahoma" w:hAnsi="Tahoma" w:cs="Tahoma"/>
        </w:rPr>
        <w:t xml:space="preserve"> respectivement en support 128.40 et en résistance 13</w:t>
      </w:r>
      <w:r w:rsidR="005F7A60">
        <w:rPr>
          <w:rFonts w:ascii="Tahoma" w:hAnsi="Tahoma" w:cs="Tahoma"/>
        </w:rPr>
        <w:t>9</w:t>
      </w:r>
      <w:r>
        <w:rPr>
          <w:rFonts w:ascii="Tahoma" w:hAnsi="Tahoma" w:cs="Tahoma"/>
        </w:rPr>
        <w:t xml:space="preserve">.09. </w:t>
      </w:r>
      <w:r w:rsidR="005F7A60">
        <w:rPr>
          <w:rFonts w:ascii="Tahoma" w:hAnsi="Tahoma" w:cs="Tahoma"/>
        </w:rPr>
        <w:t>Le point d’équilibre est quant à lui fixé sur 134.29.</w:t>
      </w:r>
    </w:p>
    <w:p w14:paraId="45BC3581" w14:textId="2E1D72CF" w:rsidR="00695604" w:rsidRDefault="000D3BD0" w:rsidP="00B41C02">
      <w:pPr>
        <w:jc w:val="both"/>
        <w:rPr>
          <w:rFonts w:ascii="Tahoma" w:hAnsi="Tahoma" w:cs="Tahoma"/>
        </w:rPr>
      </w:pPr>
      <w:r>
        <w:rPr>
          <w:rFonts w:ascii="Tahoma" w:hAnsi="Tahoma" w:cs="Tahoma"/>
        </w:rPr>
        <w:t xml:space="preserve">Graphiquement, </w:t>
      </w:r>
      <w:r w:rsidR="00695604">
        <w:rPr>
          <w:rFonts w:ascii="Tahoma" w:hAnsi="Tahoma" w:cs="Tahoma"/>
        </w:rPr>
        <w:t>le contrat a dessiné une structure baissière en étoile du soir</w:t>
      </w:r>
      <w:r w:rsidR="00B16FDC">
        <w:rPr>
          <w:rFonts w:ascii="Tahoma" w:hAnsi="Tahoma" w:cs="Tahoma"/>
        </w:rPr>
        <w:t xml:space="preserve"> après avoir touché un point haut à 136.99. Cette formation ne demande pas de confirmation.</w:t>
      </w:r>
      <w:r w:rsidR="00695604">
        <w:rPr>
          <w:rFonts w:ascii="Tahoma" w:hAnsi="Tahoma" w:cs="Tahoma"/>
        </w:rPr>
        <w:t xml:space="preserve"> </w:t>
      </w:r>
      <w:r w:rsidR="00B16FDC">
        <w:rPr>
          <w:rFonts w:ascii="Tahoma" w:hAnsi="Tahoma" w:cs="Tahoma"/>
        </w:rPr>
        <w:t>Mais la dernière chandelle, sans remettre en question la structure baissière n’est pas parvenue à prolonger la baisse des prix</w:t>
      </w:r>
      <w:r>
        <w:rPr>
          <w:rFonts w:ascii="Tahoma" w:hAnsi="Tahoma" w:cs="Tahoma"/>
        </w:rPr>
        <w:t>. Elle</w:t>
      </w:r>
      <w:r w:rsidR="00B16FDC">
        <w:rPr>
          <w:rFonts w:ascii="Tahoma" w:hAnsi="Tahoma" w:cs="Tahoma"/>
        </w:rPr>
        <w:t xml:space="preserve"> nous indique que l</w:t>
      </w:r>
      <w:r w:rsidR="00361864">
        <w:rPr>
          <w:rFonts w:ascii="Tahoma" w:hAnsi="Tahoma" w:cs="Tahoma"/>
        </w:rPr>
        <w:t>e courant</w:t>
      </w:r>
      <w:r w:rsidR="00B16FDC">
        <w:rPr>
          <w:rFonts w:ascii="Tahoma" w:hAnsi="Tahoma" w:cs="Tahoma"/>
        </w:rPr>
        <w:t xml:space="preserve"> vendeur n</w:t>
      </w:r>
      <w:r w:rsidR="00361864">
        <w:rPr>
          <w:rFonts w:ascii="Tahoma" w:hAnsi="Tahoma" w:cs="Tahoma"/>
        </w:rPr>
        <w:t>’est</w:t>
      </w:r>
      <w:r w:rsidR="00B16FDC">
        <w:rPr>
          <w:rFonts w:ascii="Tahoma" w:hAnsi="Tahoma" w:cs="Tahoma"/>
        </w:rPr>
        <w:t xml:space="preserve"> pas aussi </w:t>
      </w:r>
      <w:r w:rsidR="00361864">
        <w:rPr>
          <w:rFonts w:ascii="Tahoma" w:hAnsi="Tahoma" w:cs="Tahoma"/>
        </w:rPr>
        <w:t>intense qu’il n’y parait.</w:t>
      </w:r>
      <w:r w:rsidR="008A0C06">
        <w:rPr>
          <w:rFonts w:ascii="Tahoma" w:hAnsi="Tahoma" w:cs="Tahoma"/>
        </w:rPr>
        <w:t xml:space="preserve"> </w:t>
      </w:r>
      <w:r>
        <w:rPr>
          <w:rFonts w:ascii="Tahoma" w:hAnsi="Tahoma" w:cs="Tahoma"/>
        </w:rPr>
        <w:t>C</w:t>
      </w:r>
      <w:r w:rsidR="008A0C06">
        <w:rPr>
          <w:rFonts w:ascii="Tahoma" w:hAnsi="Tahoma" w:cs="Tahoma"/>
        </w:rPr>
        <w:t xml:space="preserve">ette action des prix nous </w:t>
      </w:r>
      <w:r w:rsidR="00296077">
        <w:rPr>
          <w:rFonts w:ascii="Tahoma" w:hAnsi="Tahoma" w:cs="Tahoma"/>
        </w:rPr>
        <w:t>ramène</w:t>
      </w:r>
      <w:r w:rsidR="008A0C06">
        <w:rPr>
          <w:rFonts w:ascii="Tahoma" w:hAnsi="Tahoma" w:cs="Tahoma"/>
        </w:rPr>
        <w:t xml:space="preserve"> à la logique de volume en baisse en fin d’année. </w:t>
      </w:r>
    </w:p>
    <w:p w14:paraId="5FF85330" w14:textId="429A222A" w:rsidR="008A0C06" w:rsidRDefault="008A0C06" w:rsidP="00B41C02">
      <w:pPr>
        <w:jc w:val="both"/>
        <w:rPr>
          <w:rFonts w:ascii="Tahoma" w:hAnsi="Tahoma" w:cs="Tahoma"/>
        </w:rPr>
      </w:pPr>
      <w:r>
        <w:rPr>
          <w:rFonts w:ascii="Tahoma" w:hAnsi="Tahoma" w:cs="Tahoma"/>
        </w:rPr>
        <w:t>134.29 reste</w:t>
      </w:r>
      <w:r w:rsidR="000D3BD0">
        <w:rPr>
          <w:rFonts w:ascii="Tahoma" w:hAnsi="Tahoma" w:cs="Tahoma"/>
        </w:rPr>
        <w:t>ra</w:t>
      </w:r>
      <w:r>
        <w:rPr>
          <w:rFonts w:ascii="Tahoma" w:hAnsi="Tahoma" w:cs="Tahoma"/>
        </w:rPr>
        <w:t xml:space="preserve"> pour autant le point d’équilibre qu’il faudra surveiller au cours des prochaines semaines</w:t>
      </w:r>
      <w:r w:rsidR="004E51E2">
        <w:rPr>
          <w:rFonts w:ascii="Tahoma" w:hAnsi="Tahoma" w:cs="Tahoma"/>
        </w:rPr>
        <w:t>.</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50555F58" w:rsidR="00583BC8" w:rsidRDefault="00FA2430" w:rsidP="00B41C02">
      <w:pPr>
        <w:jc w:val="both"/>
        <w:rPr>
          <w:rFonts w:ascii="Tahoma" w:hAnsi="Tahoma" w:cs="Tahoma"/>
        </w:rPr>
      </w:pPr>
      <w:r>
        <w:rPr>
          <w:noProof/>
        </w:rPr>
        <w:drawing>
          <wp:inline distT="0" distB="0" distL="0" distR="0" wp14:anchorId="0E0F7564" wp14:editId="119046A2">
            <wp:extent cx="5760720" cy="4320540"/>
            <wp:effectExtent l="0" t="0" r="0" b="3810"/>
            <wp:docPr id="180646984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C1DDFCD" w14:textId="682C84FD" w:rsidR="00174CB1" w:rsidRDefault="00174CB1" w:rsidP="00041E45">
      <w:pPr>
        <w:jc w:val="both"/>
        <w:rPr>
          <w:rFonts w:ascii="Tahoma" w:hAnsi="Tahoma" w:cs="Tahoma"/>
        </w:rPr>
      </w:pPr>
      <w:r>
        <w:rPr>
          <w:rFonts w:ascii="Tahoma" w:hAnsi="Tahoma" w:cs="Tahoma"/>
        </w:rPr>
        <w:t>L’absence prolongée de directionnel sur le moyen terme a placé le court terme dans un environnement sans tendance. Le nouveau twist du nuage futur va dans ce sens. Le plat de SSB de 134.92 servira de point d’équilibre alors que 132.97 sera le support et 137.42 la résistance.</w:t>
      </w:r>
    </w:p>
    <w:p w14:paraId="2B8C400F" w14:textId="13C16525" w:rsidR="00174CB1" w:rsidRDefault="00174CB1" w:rsidP="00041E45">
      <w:pPr>
        <w:jc w:val="both"/>
        <w:rPr>
          <w:rFonts w:ascii="Tahoma" w:hAnsi="Tahoma" w:cs="Tahoma"/>
        </w:rPr>
      </w:pPr>
      <w:r>
        <w:rPr>
          <w:rFonts w:ascii="Tahoma" w:hAnsi="Tahoma" w:cs="Tahoma"/>
        </w:rPr>
        <w:t>La dynamique baissière de ces derniers jours parait s’affaiblir. Les deux dernières chandelles fusionnées donnent une bougie en doji</w:t>
      </w:r>
      <w:r w:rsidR="0021127B">
        <w:rPr>
          <w:rFonts w:ascii="Tahoma" w:hAnsi="Tahoma" w:cs="Tahoma"/>
        </w:rPr>
        <w:t>. Dans un</w:t>
      </w:r>
      <w:r>
        <w:rPr>
          <w:rFonts w:ascii="Tahoma" w:hAnsi="Tahoma" w:cs="Tahoma"/>
        </w:rPr>
        <w:t xml:space="preserve"> creux de marché</w:t>
      </w:r>
      <w:r w:rsidR="0021127B">
        <w:rPr>
          <w:rFonts w:ascii="Tahoma" w:hAnsi="Tahoma" w:cs="Tahoma"/>
        </w:rPr>
        <w:t xml:space="preserve"> il</w:t>
      </w:r>
      <w:r>
        <w:rPr>
          <w:rFonts w:ascii="Tahoma" w:hAnsi="Tahoma" w:cs="Tahoma"/>
        </w:rPr>
        <w:t xml:space="preserve"> peut indiquer un retournement</w:t>
      </w:r>
      <w:r w:rsidR="00ED5284">
        <w:rPr>
          <w:rFonts w:ascii="Tahoma" w:hAnsi="Tahoma" w:cs="Tahoma"/>
        </w:rPr>
        <w:t xml:space="preserve"> du rapport de force.</w:t>
      </w:r>
      <w:r w:rsidR="00CA1A56">
        <w:rPr>
          <w:rFonts w:ascii="Tahoma" w:hAnsi="Tahoma" w:cs="Tahoma"/>
        </w:rPr>
        <w:t xml:space="preserve"> L’indicateur technique que j’utilise indique que les cours sont en survente. Un dépassement du point haut de ce doji de 134.29 permettra alors d’envisager une correct</w:t>
      </w:r>
      <w:r w:rsidR="009E2AC9">
        <w:rPr>
          <w:rFonts w:ascii="Tahoma" w:hAnsi="Tahoma" w:cs="Tahoma"/>
        </w:rPr>
        <w:t>ion haussière en direction de 134.92</w:t>
      </w:r>
    </w:p>
    <w:p w14:paraId="48CA64FE" w14:textId="77777777" w:rsidR="00174CB1" w:rsidRDefault="00174CB1" w:rsidP="00041E45">
      <w:pPr>
        <w:jc w:val="both"/>
        <w:rPr>
          <w:rFonts w:ascii="Tahoma" w:hAnsi="Tahoma" w:cs="Tahoma"/>
        </w:rPr>
      </w:pPr>
    </w:p>
    <w:p w14:paraId="258EB8FF" w14:textId="18BDC912"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795EC4">
        <w:rPr>
          <w:rFonts w:ascii="Tahoma" w:hAnsi="Tahoma" w:cs="Tahoma"/>
        </w:rPr>
        <w:t xml:space="preserve"> La réduction du volume de fin d’année limite l’interprétation de l’évolution des prix. Pour autant les données hebdomadaires sont toujours en consolidation. Sans directionnel de moyen terme, le court </w:t>
      </w:r>
      <w:r w:rsidR="00011353">
        <w:rPr>
          <w:rFonts w:ascii="Tahoma" w:hAnsi="Tahoma" w:cs="Tahoma"/>
        </w:rPr>
        <w:t xml:space="preserve">terme </w:t>
      </w:r>
      <w:r w:rsidR="00795EC4">
        <w:rPr>
          <w:rFonts w:ascii="Tahoma" w:hAnsi="Tahoma" w:cs="Tahoma"/>
        </w:rPr>
        <w:t>est lui aussi entré dans une phase de consolidation</w:t>
      </w:r>
      <w:r w:rsidR="00011353">
        <w:rPr>
          <w:rFonts w:ascii="Tahoma" w:hAnsi="Tahoma" w:cs="Tahoma"/>
        </w:rPr>
        <w:t>,</w:t>
      </w:r>
      <w:r w:rsidR="00795EC4">
        <w:rPr>
          <w:rFonts w:ascii="Tahoma" w:hAnsi="Tahoma" w:cs="Tahoma"/>
        </w:rPr>
        <w:t xml:space="preserve"> cadré</w:t>
      </w:r>
      <w:r w:rsidR="00011353">
        <w:rPr>
          <w:rFonts w:ascii="Tahoma" w:hAnsi="Tahoma" w:cs="Tahoma"/>
        </w:rPr>
        <w:t>e</w:t>
      </w:r>
      <w:r w:rsidR="00795EC4">
        <w:rPr>
          <w:rFonts w:ascii="Tahoma" w:hAnsi="Tahoma" w:cs="Tahoma"/>
        </w:rPr>
        <w:t xml:space="preserve"> par 132.97 et 137.42 avec un point d’équilibre sur 134.92.</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11353"/>
    <w:rsid w:val="00024835"/>
    <w:rsid w:val="0002580A"/>
    <w:rsid w:val="00041E45"/>
    <w:rsid w:val="000524C5"/>
    <w:rsid w:val="000556C3"/>
    <w:rsid w:val="000833FB"/>
    <w:rsid w:val="00092058"/>
    <w:rsid w:val="000938CC"/>
    <w:rsid w:val="000B221E"/>
    <w:rsid w:val="000B7DFC"/>
    <w:rsid w:val="000C0DE4"/>
    <w:rsid w:val="000D3BD0"/>
    <w:rsid w:val="000D4ED3"/>
    <w:rsid w:val="001018AD"/>
    <w:rsid w:val="00103ED4"/>
    <w:rsid w:val="00105B4E"/>
    <w:rsid w:val="00134AFA"/>
    <w:rsid w:val="00135766"/>
    <w:rsid w:val="0014687D"/>
    <w:rsid w:val="0015581D"/>
    <w:rsid w:val="00163C46"/>
    <w:rsid w:val="001705F4"/>
    <w:rsid w:val="00174CB1"/>
    <w:rsid w:val="00190995"/>
    <w:rsid w:val="001A4796"/>
    <w:rsid w:val="001D25F4"/>
    <w:rsid w:val="001D474B"/>
    <w:rsid w:val="001F650A"/>
    <w:rsid w:val="002003AD"/>
    <w:rsid w:val="0021127B"/>
    <w:rsid w:val="002421FE"/>
    <w:rsid w:val="00262E25"/>
    <w:rsid w:val="00263ED0"/>
    <w:rsid w:val="00296077"/>
    <w:rsid w:val="002A1F8E"/>
    <w:rsid w:val="002B5CB1"/>
    <w:rsid w:val="002C0A31"/>
    <w:rsid w:val="002F54B0"/>
    <w:rsid w:val="003030E2"/>
    <w:rsid w:val="00303214"/>
    <w:rsid w:val="0030643B"/>
    <w:rsid w:val="00337611"/>
    <w:rsid w:val="00340FD9"/>
    <w:rsid w:val="00352DD9"/>
    <w:rsid w:val="00361864"/>
    <w:rsid w:val="003767E0"/>
    <w:rsid w:val="00397D3D"/>
    <w:rsid w:val="0040171B"/>
    <w:rsid w:val="00467005"/>
    <w:rsid w:val="004A2D2D"/>
    <w:rsid w:val="004A5154"/>
    <w:rsid w:val="004D53C4"/>
    <w:rsid w:val="004E51E2"/>
    <w:rsid w:val="004F48EE"/>
    <w:rsid w:val="00531928"/>
    <w:rsid w:val="005440A4"/>
    <w:rsid w:val="00546A5A"/>
    <w:rsid w:val="00566580"/>
    <w:rsid w:val="00567AF3"/>
    <w:rsid w:val="00583BC8"/>
    <w:rsid w:val="005F7A60"/>
    <w:rsid w:val="00654380"/>
    <w:rsid w:val="00664BE1"/>
    <w:rsid w:val="00695604"/>
    <w:rsid w:val="006B055C"/>
    <w:rsid w:val="006E32BB"/>
    <w:rsid w:val="006E38E0"/>
    <w:rsid w:val="00710599"/>
    <w:rsid w:val="00723F77"/>
    <w:rsid w:val="00744696"/>
    <w:rsid w:val="00772067"/>
    <w:rsid w:val="0077545D"/>
    <w:rsid w:val="00795EC4"/>
    <w:rsid w:val="007A0A4B"/>
    <w:rsid w:val="007A0E6C"/>
    <w:rsid w:val="007B1237"/>
    <w:rsid w:val="007B661D"/>
    <w:rsid w:val="007D19FF"/>
    <w:rsid w:val="007D2085"/>
    <w:rsid w:val="007D4181"/>
    <w:rsid w:val="0083454A"/>
    <w:rsid w:val="00837B38"/>
    <w:rsid w:val="00853CBC"/>
    <w:rsid w:val="00896554"/>
    <w:rsid w:val="008A0C06"/>
    <w:rsid w:val="008A7407"/>
    <w:rsid w:val="008F10C2"/>
    <w:rsid w:val="00902D2F"/>
    <w:rsid w:val="00961FDF"/>
    <w:rsid w:val="009822D9"/>
    <w:rsid w:val="00983B7D"/>
    <w:rsid w:val="009A37C2"/>
    <w:rsid w:val="009E2AC9"/>
    <w:rsid w:val="009F3AB8"/>
    <w:rsid w:val="00A11606"/>
    <w:rsid w:val="00A6401C"/>
    <w:rsid w:val="00A81AB7"/>
    <w:rsid w:val="00AA522C"/>
    <w:rsid w:val="00AB7A8D"/>
    <w:rsid w:val="00AE7F3B"/>
    <w:rsid w:val="00B16FDC"/>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A1A56"/>
    <w:rsid w:val="00CB17C9"/>
    <w:rsid w:val="00CC72FF"/>
    <w:rsid w:val="00CC7C21"/>
    <w:rsid w:val="00CE0886"/>
    <w:rsid w:val="00CF2516"/>
    <w:rsid w:val="00CF6D63"/>
    <w:rsid w:val="00D23B28"/>
    <w:rsid w:val="00D46C8D"/>
    <w:rsid w:val="00DA1359"/>
    <w:rsid w:val="00DE5444"/>
    <w:rsid w:val="00DF072F"/>
    <w:rsid w:val="00E32014"/>
    <w:rsid w:val="00E3727C"/>
    <w:rsid w:val="00EB58BA"/>
    <w:rsid w:val="00ED5284"/>
    <w:rsid w:val="00EE6B93"/>
    <w:rsid w:val="00F04A6E"/>
    <w:rsid w:val="00F04DEF"/>
    <w:rsid w:val="00F31070"/>
    <w:rsid w:val="00F53F10"/>
    <w:rsid w:val="00F636F8"/>
    <w:rsid w:val="00F87EB2"/>
    <w:rsid w:val="00FA2430"/>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3</Pages>
  <Words>500</Words>
  <Characters>2751</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118</cp:revision>
  <dcterms:created xsi:type="dcterms:W3CDTF">2021-11-25T09:44:00Z</dcterms:created>
  <dcterms:modified xsi:type="dcterms:W3CDTF">2024-12-21T14:59:00Z</dcterms:modified>
</cp:coreProperties>
</file>