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59477FA1" w:rsidR="00902D2F" w:rsidRDefault="00C5096A" w:rsidP="00B41C02">
      <w:pPr>
        <w:jc w:val="both"/>
        <w:rPr>
          <w:rFonts w:ascii="Tahoma" w:hAnsi="Tahoma" w:cs="Tahoma"/>
        </w:rPr>
      </w:pPr>
      <w:r>
        <w:rPr>
          <w:noProof/>
        </w:rPr>
        <w:drawing>
          <wp:inline distT="0" distB="0" distL="0" distR="0" wp14:anchorId="7ABEFBFE" wp14:editId="4D817A63">
            <wp:extent cx="5760720" cy="4319270"/>
            <wp:effectExtent l="0" t="0" r="0" b="5080"/>
            <wp:docPr id="108851402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19270"/>
                    </a:xfrm>
                    <a:prstGeom prst="rect">
                      <a:avLst/>
                    </a:prstGeom>
                    <a:noFill/>
                    <a:ln>
                      <a:noFill/>
                    </a:ln>
                  </pic:spPr>
                </pic:pic>
              </a:graphicData>
            </a:graphic>
          </wp:inline>
        </w:drawing>
      </w:r>
    </w:p>
    <w:p w14:paraId="023B64C2" w14:textId="04875C0E" w:rsidR="005813DC" w:rsidRDefault="00FC0029" w:rsidP="00B41C02">
      <w:pPr>
        <w:jc w:val="both"/>
        <w:rPr>
          <w:rFonts w:ascii="Tahoma" w:hAnsi="Tahoma" w:cs="Tahoma"/>
        </w:rPr>
      </w:pPr>
      <w:r>
        <w:rPr>
          <w:rFonts w:ascii="Tahoma" w:hAnsi="Tahoma" w:cs="Tahoma"/>
        </w:rPr>
        <w:t>Depuis ma dernière analyse, qui date de la fin du mois de décembre, l</w:t>
      </w:r>
      <w:r w:rsidR="001A4796">
        <w:rPr>
          <w:rFonts w:ascii="Tahoma" w:hAnsi="Tahoma" w:cs="Tahoma"/>
        </w:rPr>
        <w:t>a</w:t>
      </w:r>
      <w:r>
        <w:rPr>
          <w:rFonts w:ascii="Tahoma" w:hAnsi="Tahoma" w:cs="Tahoma"/>
        </w:rPr>
        <w:t xml:space="preserve"> baisse s’est poursuivie. Elle a</w:t>
      </w:r>
      <w:r w:rsidR="00A962ED">
        <w:rPr>
          <w:rFonts w:ascii="Tahoma" w:hAnsi="Tahoma" w:cs="Tahoma"/>
        </w:rPr>
        <w:t xml:space="preserve">vait </w:t>
      </w:r>
      <w:r>
        <w:rPr>
          <w:rFonts w:ascii="Tahoma" w:hAnsi="Tahoma" w:cs="Tahoma"/>
        </w:rPr>
        <w:t>débuté début décembre par la formation d’une structure de retournement en étoile du soir.</w:t>
      </w:r>
      <w:r w:rsidR="00A92106">
        <w:rPr>
          <w:rFonts w:ascii="Tahoma" w:hAnsi="Tahoma" w:cs="Tahoma"/>
        </w:rPr>
        <w:t xml:space="preserve"> </w:t>
      </w:r>
      <w:r w:rsidR="00A962ED">
        <w:rPr>
          <w:rFonts w:ascii="Tahoma" w:hAnsi="Tahoma" w:cs="Tahoma"/>
        </w:rPr>
        <w:t>Sur cet enchainement de chandeliers noirs, s</w:t>
      </w:r>
      <w:r w:rsidR="00A92106">
        <w:rPr>
          <w:rFonts w:ascii="Tahoma" w:hAnsi="Tahoma" w:cs="Tahoma"/>
        </w:rPr>
        <w:t xml:space="preserve">eul le marteau inversé de </w:t>
      </w:r>
      <w:r w:rsidR="00A962ED">
        <w:rPr>
          <w:rFonts w:ascii="Tahoma" w:hAnsi="Tahoma" w:cs="Tahoma"/>
        </w:rPr>
        <w:t>la</w:t>
      </w:r>
      <w:r w:rsidR="00A92106">
        <w:rPr>
          <w:rFonts w:ascii="Tahoma" w:hAnsi="Tahoma" w:cs="Tahoma"/>
        </w:rPr>
        <w:t xml:space="preserve"> semaine </w:t>
      </w:r>
      <w:r w:rsidR="00A962ED">
        <w:rPr>
          <w:rFonts w:ascii="Tahoma" w:hAnsi="Tahoma" w:cs="Tahoma"/>
        </w:rPr>
        <w:t xml:space="preserve">dernière </w:t>
      </w:r>
      <w:r w:rsidR="00A92106">
        <w:rPr>
          <w:rFonts w:ascii="Tahoma" w:hAnsi="Tahoma" w:cs="Tahoma"/>
        </w:rPr>
        <w:t>aurait pu avoir un impact positif sur les cours</w:t>
      </w:r>
      <w:r w:rsidR="00A962ED">
        <w:rPr>
          <w:rFonts w:ascii="Tahoma" w:hAnsi="Tahoma" w:cs="Tahoma"/>
        </w:rPr>
        <w:t>.</w:t>
      </w:r>
      <w:r w:rsidR="00A92106">
        <w:rPr>
          <w:rFonts w:ascii="Tahoma" w:hAnsi="Tahoma" w:cs="Tahoma"/>
        </w:rPr>
        <w:t xml:space="preserve"> </w:t>
      </w:r>
      <w:r w:rsidR="00A962ED">
        <w:rPr>
          <w:rFonts w:ascii="Tahoma" w:hAnsi="Tahoma" w:cs="Tahoma"/>
        </w:rPr>
        <w:t>M</w:t>
      </w:r>
      <w:r w:rsidR="00A92106">
        <w:rPr>
          <w:rFonts w:ascii="Tahoma" w:hAnsi="Tahoma" w:cs="Tahoma"/>
        </w:rPr>
        <w:t xml:space="preserve">ais </w:t>
      </w:r>
      <w:r w:rsidR="00A962ED">
        <w:rPr>
          <w:rFonts w:ascii="Tahoma" w:hAnsi="Tahoma" w:cs="Tahoma"/>
        </w:rPr>
        <w:t xml:space="preserve">comme nous pouvons le constater, </w:t>
      </w:r>
      <w:r w:rsidR="00A92106">
        <w:rPr>
          <w:rFonts w:ascii="Tahoma" w:hAnsi="Tahoma" w:cs="Tahoma"/>
        </w:rPr>
        <w:t xml:space="preserve">le contrat n’a pas été capable de revenir </w:t>
      </w:r>
      <w:r w:rsidR="00B32A93">
        <w:rPr>
          <w:rFonts w:ascii="Tahoma" w:hAnsi="Tahoma" w:cs="Tahoma"/>
        </w:rPr>
        <w:t>au-dessus</w:t>
      </w:r>
      <w:r w:rsidR="00A92106">
        <w:rPr>
          <w:rFonts w:ascii="Tahoma" w:hAnsi="Tahoma" w:cs="Tahoma"/>
        </w:rPr>
        <w:t xml:space="preserve"> de sa mèche haute</w:t>
      </w:r>
      <w:r w:rsidR="00A962ED">
        <w:rPr>
          <w:rFonts w:ascii="Tahoma" w:hAnsi="Tahoma" w:cs="Tahoma"/>
        </w:rPr>
        <w:t xml:space="preserve"> de </w:t>
      </w:r>
      <w:r w:rsidR="00A92106">
        <w:rPr>
          <w:rFonts w:ascii="Tahoma" w:hAnsi="Tahoma" w:cs="Tahoma"/>
        </w:rPr>
        <w:t xml:space="preserve">133.86 pour inciter une partie des vendeurs à revoir </w:t>
      </w:r>
      <w:r w:rsidR="00B32A93">
        <w:rPr>
          <w:rFonts w:ascii="Tahoma" w:hAnsi="Tahoma" w:cs="Tahoma"/>
        </w:rPr>
        <w:t>leurs positions</w:t>
      </w:r>
      <w:r w:rsidR="00A92106">
        <w:rPr>
          <w:rFonts w:ascii="Tahoma" w:hAnsi="Tahoma" w:cs="Tahoma"/>
        </w:rPr>
        <w:t>.</w:t>
      </w:r>
    </w:p>
    <w:p w14:paraId="612C81E2" w14:textId="77777777" w:rsidR="005813DC" w:rsidRDefault="005813DC" w:rsidP="00B41C02">
      <w:pPr>
        <w:jc w:val="both"/>
        <w:rPr>
          <w:rFonts w:ascii="Tahoma" w:hAnsi="Tahoma" w:cs="Tahoma"/>
        </w:rPr>
      </w:pPr>
      <w:r>
        <w:rPr>
          <w:rFonts w:ascii="Tahoma" w:hAnsi="Tahoma" w:cs="Tahoma"/>
        </w:rPr>
        <w:t>Ainsi le contexte reste orienté à la baisse avec un dernier support sur 130.42 avant d’envisager 128.40.</w:t>
      </w:r>
    </w:p>
    <w:p w14:paraId="7AC4D2D2" w14:textId="467F31F1" w:rsidR="00DF072F" w:rsidRDefault="005424D3" w:rsidP="00B41C02">
      <w:pPr>
        <w:jc w:val="both"/>
        <w:rPr>
          <w:rFonts w:ascii="Tahoma" w:hAnsi="Tahoma" w:cs="Tahoma"/>
        </w:rPr>
      </w:pPr>
      <w:r>
        <w:rPr>
          <w:rFonts w:ascii="Tahoma" w:hAnsi="Tahoma" w:cs="Tahoma"/>
        </w:rPr>
        <w:t>En effet d</w:t>
      </w:r>
      <w:r w:rsidR="00B7258B">
        <w:rPr>
          <w:rFonts w:ascii="Tahoma" w:hAnsi="Tahoma" w:cs="Tahoma"/>
        </w:rPr>
        <w:t>epuis la formation de nombreux twist</w:t>
      </w:r>
      <w:r>
        <w:rPr>
          <w:rFonts w:ascii="Tahoma" w:hAnsi="Tahoma" w:cs="Tahoma"/>
        </w:rPr>
        <w:t>s</w:t>
      </w:r>
      <w:r w:rsidR="00B7258B">
        <w:rPr>
          <w:rFonts w:ascii="Tahoma" w:hAnsi="Tahoma" w:cs="Tahoma"/>
        </w:rPr>
        <w:t xml:space="preserve"> d</w:t>
      </w:r>
      <w:r>
        <w:rPr>
          <w:rFonts w:ascii="Tahoma" w:hAnsi="Tahoma" w:cs="Tahoma"/>
        </w:rPr>
        <w:t>e</w:t>
      </w:r>
      <w:r w:rsidR="00B7258B">
        <w:rPr>
          <w:rFonts w:ascii="Tahoma" w:hAnsi="Tahoma" w:cs="Tahoma"/>
        </w:rPr>
        <w:t xml:space="preserve"> nuage,</w:t>
      </w:r>
      <w:r>
        <w:rPr>
          <w:rFonts w:ascii="Tahoma" w:hAnsi="Tahoma" w:cs="Tahoma"/>
        </w:rPr>
        <w:t xml:space="preserve"> signe d’absence de tendance, </w:t>
      </w:r>
      <w:r w:rsidR="00B7258B">
        <w:rPr>
          <w:rFonts w:ascii="Tahoma" w:hAnsi="Tahoma" w:cs="Tahoma"/>
        </w:rPr>
        <w:t xml:space="preserve"> </w:t>
      </w:r>
      <w:r w:rsidR="005813DC">
        <w:rPr>
          <w:rFonts w:ascii="Tahoma" w:hAnsi="Tahoma" w:cs="Tahoma"/>
        </w:rPr>
        <w:t>128.40 représente le bas de la zone d</w:t>
      </w:r>
      <w:r>
        <w:rPr>
          <w:rFonts w:ascii="Tahoma" w:hAnsi="Tahoma" w:cs="Tahoma"/>
        </w:rPr>
        <w:t>’une</w:t>
      </w:r>
      <w:r w:rsidR="005813DC">
        <w:rPr>
          <w:rFonts w:ascii="Tahoma" w:hAnsi="Tahoma" w:cs="Tahoma"/>
        </w:rPr>
        <w:t xml:space="preserve"> consolidation de moyen terme </w:t>
      </w:r>
      <w:r w:rsidR="00B7258B">
        <w:rPr>
          <w:rFonts w:ascii="Tahoma" w:hAnsi="Tahoma" w:cs="Tahoma"/>
        </w:rPr>
        <w:t xml:space="preserve">qui se développe depuis </w:t>
      </w:r>
      <w:r>
        <w:rPr>
          <w:rFonts w:ascii="Tahoma" w:hAnsi="Tahoma" w:cs="Tahoma"/>
        </w:rPr>
        <w:t xml:space="preserve">plusieurs </w:t>
      </w:r>
      <w:r w:rsidR="00B7258B">
        <w:rPr>
          <w:rFonts w:ascii="Tahoma" w:hAnsi="Tahoma" w:cs="Tahoma"/>
        </w:rPr>
        <w:t xml:space="preserve">mois. Le point d’équilibre </w:t>
      </w:r>
      <w:r>
        <w:rPr>
          <w:rFonts w:ascii="Tahoma" w:hAnsi="Tahoma" w:cs="Tahoma"/>
        </w:rPr>
        <w:t>se situe</w:t>
      </w:r>
      <w:r w:rsidR="00B7258B">
        <w:rPr>
          <w:rFonts w:ascii="Tahoma" w:hAnsi="Tahoma" w:cs="Tahoma"/>
        </w:rPr>
        <w:t xml:space="preserve"> sur 134.29 et </w:t>
      </w:r>
      <w:r w:rsidR="00B32A93">
        <w:rPr>
          <w:rFonts w:ascii="Tahoma" w:hAnsi="Tahoma" w:cs="Tahoma"/>
        </w:rPr>
        <w:t>la résistance</w:t>
      </w:r>
      <w:r w:rsidR="00B7258B">
        <w:rPr>
          <w:rFonts w:ascii="Tahoma" w:hAnsi="Tahoma" w:cs="Tahoma"/>
        </w:rPr>
        <w:t xml:space="preserve"> sur 139.09. La cassure du point d’équilibre, il y a trois semaines de cela a donné un avantage à la baisse en direction du support de 128.40.</w:t>
      </w:r>
    </w:p>
    <w:p w14:paraId="374D1F17" w14:textId="79644723" w:rsidR="00583BC8" w:rsidRDefault="00B7258B" w:rsidP="00B41C02">
      <w:pPr>
        <w:jc w:val="both"/>
        <w:rPr>
          <w:rFonts w:ascii="Tahoma" w:hAnsi="Tahoma" w:cs="Tahoma"/>
        </w:rPr>
      </w:pPr>
      <w:r>
        <w:rPr>
          <w:rFonts w:ascii="Tahoma" w:hAnsi="Tahoma" w:cs="Tahoma"/>
        </w:rPr>
        <w:t>Quoi qu’il en soit, la tendance de moyen terme ne sera baissière qu’après l’établissement des prix sous le support de 128.40.</w:t>
      </w:r>
    </w:p>
    <w:p w14:paraId="734E9188" w14:textId="77777777" w:rsidR="000E0333" w:rsidRDefault="000E0333"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lastRenderedPageBreak/>
        <w:t>DAY</w:t>
      </w:r>
    </w:p>
    <w:p w14:paraId="1675B8DF" w14:textId="6ED97A7D" w:rsidR="00583BC8" w:rsidRDefault="00C5096A" w:rsidP="00B41C02">
      <w:pPr>
        <w:jc w:val="both"/>
        <w:rPr>
          <w:rFonts w:ascii="Tahoma" w:hAnsi="Tahoma" w:cs="Tahoma"/>
        </w:rPr>
      </w:pPr>
      <w:r>
        <w:rPr>
          <w:noProof/>
        </w:rPr>
        <w:drawing>
          <wp:inline distT="0" distB="0" distL="0" distR="0" wp14:anchorId="2C79FBF6" wp14:editId="707CBBA8">
            <wp:extent cx="5760720" cy="4319270"/>
            <wp:effectExtent l="0" t="0" r="0" b="5080"/>
            <wp:docPr id="26941043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19270"/>
                    </a:xfrm>
                    <a:prstGeom prst="rect">
                      <a:avLst/>
                    </a:prstGeom>
                    <a:noFill/>
                    <a:ln>
                      <a:noFill/>
                    </a:ln>
                  </pic:spPr>
                </pic:pic>
              </a:graphicData>
            </a:graphic>
          </wp:inline>
        </w:drawing>
      </w:r>
    </w:p>
    <w:p w14:paraId="63A7D0C3" w14:textId="44106959" w:rsidR="00EB3DD1" w:rsidRDefault="00684011" w:rsidP="00B94D71">
      <w:pPr>
        <w:jc w:val="both"/>
        <w:rPr>
          <w:rFonts w:ascii="Tahoma" w:hAnsi="Tahoma" w:cs="Tahoma"/>
        </w:rPr>
      </w:pPr>
      <w:r>
        <w:rPr>
          <w:rFonts w:ascii="Tahoma" w:hAnsi="Tahoma" w:cs="Tahoma"/>
        </w:rPr>
        <w:t>Le cours terme montre un marché baissier dans un environnement survendu. En effet l’écart entre prix  et TS confirme ce contexte, tout comme l’indicateur technique utilisé (Stochastique  14-3-3) qui traduit une inertie baissière.</w:t>
      </w:r>
      <w:r w:rsidR="005C0E88">
        <w:rPr>
          <w:rFonts w:ascii="Tahoma" w:hAnsi="Tahoma" w:cs="Tahoma"/>
        </w:rPr>
        <w:t xml:space="preserve"> </w:t>
      </w:r>
      <w:r w:rsidR="000E0333">
        <w:rPr>
          <w:rFonts w:ascii="Tahoma" w:hAnsi="Tahoma" w:cs="Tahoma"/>
        </w:rPr>
        <w:t>Bien que l’</w:t>
      </w:r>
      <w:r w:rsidR="00EB3DD1">
        <w:rPr>
          <w:rFonts w:ascii="Tahoma" w:hAnsi="Tahoma" w:cs="Tahoma"/>
        </w:rPr>
        <w:t xml:space="preserve">environnement </w:t>
      </w:r>
      <w:r w:rsidR="000E0333">
        <w:rPr>
          <w:rFonts w:ascii="Tahoma" w:hAnsi="Tahoma" w:cs="Tahoma"/>
        </w:rPr>
        <w:t xml:space="preserve">favorise la baisse, il </w:t>
      </w:r>
      <w:r w:rsidR="00EB3DD1">
        <w:rPr>
          <w:rFonts w:ascii="Tahoma" w:hAnsi="Tahoma" w:cs="Tahoma"/>
        </w:rPr>
        <w:t>ne permet pas d’envisager une cassure du support de 128.40.</w:t>
      </w:r>
      <w:r w:rsidR="00494B76">
        <w:rPr>
          <w:rFonts w:ascii="Tahoma" w:hAnsi="Tahoma" w:cs="Tahoma"/>
        </w:rPr>
        <w:t xml:space="preserve"> Un retour des cours vers la TS avant une nouvelle vague de baisse </w:t>
      </w:r>
      <w:r w:rsidR="00D93223">
        <w:rPr>
          <w:rFonts w:ascii="Tahoma" w:hAnsi="Tahoma" w:cs="Tahoma"/>
        </w:rPr>
        <w:t xml:space="preserve">sera </w:t>
      </w:r>
      <w:r w:rsidR="00B32A93">
        <w:rPr>
          <w:rFonts w:ascii="Tahoma" w:hAnsi="Tahoma" w:cs="Tahoma"/>
        </w:rPr>
        <w:t>nécessaire</w:t>
      </w:r>
      <w:r w:rsidR="00D93223">
        <w:rPr>
          <w:rFonts w:ascii="Tahoma" w:hAnsi="Tahoma" w:cs="Tahoma"/>
        </w:rPr>
        <w:t xml:space="preserve"> pour l’envisager.</w:t>
      </w:r>
    </w:p>
    <w:p w14:paraId="285E581E" w14:textId="19537928" w:rsidR="00D93223" w:rsidRDefault="00D93223" w:rsidP="00B94D71">
      <w:pPr>
        <w:jc w:val="both"/>
        <w:rPr>
          <w:rFonts w:ascii="Tahoma" w:hAnsi="Tahoma" w:cs="Tahoma"/>
        </w:rPr>
      </w:pPr>
      <w:r>
        <w:rPr>
          <w:rFonts w:ascii="Tahoma" w:hAnsi="Tahoma" w:cs="Tahoma"/>
        </w:rPr>
        <w:t xml:space="preserve">La dernière chandelle de type marteau </w:t>
      </w:r>
      <w:r w:rsidR="009F4E05">
        <w:rPr>
          <w:rFonts w:ascii="Tahoma" w:hAnsi="Tahoma" w:cs="Tahoma"/>
        </w:rPr>
        <w:t xml:space="preserve">montre </w:t>
      </w:r>
      <w:r w:rsidR="00B32A93">
        <w:rPr>
          <w:rFonts w:ascii="Tahoma" w:hAnsi="Tahoma" w:cs="Tahoma"/>
        </w:rPr>
        <w:t>peut-être</w:t>
      </w:r>
      <w:r w:rsidR="009F4E05">
        <w:rPr>
          <w:rFonts w:ascii="Tahoma" w:hAnsi="Tahoma" w:cs="Tahoma"/>
        </w:rPr>
        <w:t xml:space="preserve"> un début de prises de profit de la part des vendeurs. Ces derniers ont ramené les cours sur les bas du mois de juin dernier mais n’ont pas tenu leurs positions. Un retour du contrat </w:t>
      </w:r>
      <w:r w:rsidR="00B32A93">
        <w:rPr>
          <w:rFonts w:ascii="Tahoma" w:hAnsi="Tahoma" w:cs="Tahoma"/>
        </w:rPr>
        <w:t>au-dessus</w:t>
      </w:r>
      <w:r w:rsidR="009F4E05">
        <w:rPr>
          <w:rFonts w:ascii="Tahoma" w:hAnsi="Tahoma" w:cs="Tahoma"/>
        </w:rPr>
        <w:t xml:space="preserve"> de 131.35</w:t>
      </w:r>
      <w:r w:rsidR="007D3F55">
        <w:rPr>
          <w:rFonts w:ascii="Tahoma" w:hAnsi="Tahoma" w:cs="Tahoma"/>
        </w:rPr>
        <w:t xml:space="preserve"> </w:t>
      </w:r>
      <w:r w:rsidR="00B32A93">
        <w:rPr>
          <w:rFonts w:ascii="Tahoma" w:hAnsi="Tahoma" w:cs="Tahoma"/>
        </w:rPr>
        <w:t>développera</w:t>
      </w:r>
      <w:r w:rsidR="007D3F55">
        <w:rPr>
          <w:rFonts w:ascii="Tahoma" w:hAnsi="Tahoma" w:cs="Tahoma"/>
        </w:rPr>
        <w:t xml:space="preserve"> le </w:t>
      </w:r>
      <w:r w:rsidR="000E0333">
        <w:rPr>
          <w:rFonts w:ascii="Tahoma" w:hAnsi="Tahoma" w:cs="Tahoma"/>
        </w:rPr>
        <w:t xml:space="preserve">sentiment de </w:t>
      </w:r>
      <w:r w:rsidR="007D3F55">
        <w:rPr>
          <w:rFonts w:ascii="Tahoma" w:hAnsi="Tahoma" w:cs="Tahoma"/>
        </w:rPr>
        <w:t xml:space="preserve">doute chez les </w:t>
      </w:r>
      <w:r w:rsidR="00B32A93">
        <w:rPr>
          <w:rFonts w:ascii="Tahoma" w:hAnsi="Tahoma" w:cs="Tahoma"/>
        </w:rPr>
        <w:t>baissiers. Un</w:t>
      </w:r>
      <w:r w:rsidR="005B5F8E">
        <w:rPr>
          <w:rFonts w:ascii="Tahoma" w:hAnsi="Tahoma" w:cs="Tahoma"/>
        </w:rPr>
        <w:t xml:space="preserve"> retournement de l’indicateur technique, résultant de cette hausse concrétisera </w:t>
      </w:r>
      <w:r w:rsidR="000E0333">
        <w:rPr>
          <w:rFonts w:ascii="Tahoma" w:hAnsi="Tahoma" w:cs="Tahoma"/>
        </w:rPr>
        <w:t>ainsi</w:t>
      </w:r>
      <w:r w:rsidR="005B5F8E">
        <w:rPr>
          <w:rFonts w:ascii="Tahoma" w:hAnsi="Tahoma" w:cs="Tahoma"/>
        </w:rPr>
        <w:t xml:space="preserve"> </w:t>
      </w:r>
      <w:r w:rsidR="00D42FBD">
        <w:rPr>
          <w:rFonts w:ascii="Tahoma" w:hAnsi="Tahoma" w:cs="Tahoma"/>
        </w:rPr>
        <w:t>le début d’un mouvement de renversement des prix.</w:t>
      </w:r>
    </w:p>
    <w:p w14:paraId="1180CB4B" w14:textId="77777777" w:rsidR="00EB3DD1" w:rsidRDefault="00EB3DD1" w:rsidP="00B94D71">
      <w:pPr>
        <w:jc w:val="both"/>
        <w:rPr>
          <w:rFonts w:ascii="Tahoma" w:hAnsi="Tahoma" w:cs="Tahoma"/>
        </w:rPr>
      </w:pPr>
    </w:p>
    <w:p w14:paraId="258EB8FF" w14:textId="7EA2117B" w:rsidR="00B94D71" w:rsidRDefault="00B94D71" w:rsidP="00B94D71">
      <w:pPr>
        <w:jc w:val="both"/>
        <w:rPr>
          <w:rFonts w:ascii="Tahoma" w:hAnsi="Tahoma" w:cs="Tahoma"/>
        </w:rPr>
      </w:pPr>
      <w:r>
        <w:rPr>
          <w:rFonts w:ascii="Tahoma" w:hAnsi="Tahoma" w:cs="Tahoma"/>
          <w:u w:val="single"/>
        </w:rPr>
        <w:t>CONCLUSION</w:t>
      </w:r>
      <w:r>
        <w:rPr>
          <w:rFonts w:ascii="Tahoma" w:hAnsi="Tahoma" w:cs="Tahoma"/>
        </w:rPr>
        <w:t> :</w:t>
      </w:r>
      <w:r w:rsidR="00D42FBD">
        <w:rPr>
          <w:rFonts w:ascii="Tahoma" w:hAnsi="Tahoma" w:cs="Tahoma"/>
        </w:rPr>
        <w:t xml:space="preserve"> En cassure de 130.42 poursuite de la baisse sur 128.40, partie basse de la dérive latérale de moyen terme. Le dépassement de 131.35 laissera envisager une correction haussière de la dernière vague de baisse de court terme.</w:t>
      </w:r>
    </w:p>
    <w:p w14:paraId="655E9AC0" w14:textId="73891DA0" w:rsidR="00723F77" w:rsidRDefault="00723F77" w:rsidP="00041E45">
      <w:pPr>
        <w:jc w:val="both"/>
        <w:rPr>
          <w:rFonts w:ascii="Tahoma" w:hAnsi="Tahoma" w:cs="Tahoma"/>
        </w:rPr>
      </w:pPr>
    </w:p>
    <w:p w14:paraId="6E428007" w14:textId="083684F5" w:rsidR="00EE6B93" w:rsidRDefault="00EE6B93" w:rsidP="00041E45">
      <w:pPr>
        <w:jc w:val="both"/>
        <w:rPr>
          <w:rFonts w:ascii="Tahoma" w:hAnsi="Tahoma" w:cs="Tahoma"/>
        </w:rPr>
      </w:pPr>
    </w:p>
    <w:p w14:paraId="2E975A96" w14:textId="77777777" w:rsidR="00EE6B93" w:rsidRDefault="00EE6B93"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938CC"/>
    <w:rsid w:val="000B221E"/>
    <w:rsid w:val="000B7DFC"/>
    <w:rsid w:val="000C0DE4"/>
    <w:rsid w:val="000D4ED3"/>
    <w:rsid w:val="000E0333"/>
    <w:rsid w:val="001018AD"/>
    <w:rsid w:val="00103ED4"/>
    <w:rsid w:val="00105B4E"/>
    <w:rsid w:val="00134AFA"/>
    <w:rsid w:val="00135766"/>
    <w:rsid w:val="0014687D"/>
    <w:rsid w:val="0015581D"/>
    <w:rsid w:val="00163C46"/>
    <w:rsid w:val="001705F4"/>
    <w:rsid w:val="00190995"/>
    <w:rsid w:val="001A4796"/>
    <w:rsid w:val="001D474B"/>
    <w:rsid w:val="001F650A"/>
    <w:rsid w:val="002003AD"/>
    <w:rsid w:val="002421FE"/>
    <w:rsid w:val="00262E25"/>
    <w:rsid w:val="00263ED0"/>
    <w:rsid w:val="002A1F8E"/>
    <w:rsid w:val="002B5CB1"/>
    <w:rsid w:val="002C0A31"/>
    <w:rsid w:val="002F54B0"/>
    <w:rsid w:val="00303214"/>
    <w:rsid w:val="0030643B"/>
    <w:rsid w:val="00337611"/>
    <w:rsid w:val="00340FD9"/>
    <w:rsid w:val="00352DD9"/>
    <w:rsid w:val="003767E0"/>
    <w:rsid w:val="00397D3D"/>
    <w:rsid w:val="0040171B"/>
    <w:rsid w:val="00467005"/>
    <w:rsid w:val="00494B76"/>
    <w:rsid w:val="004A2D2D"/>
    <w:rsid w:val="004A5154"/>
    <w:rsid w:val="004E7136"/>
    <w:rsid w:val="004F48EE"/>
    <w:rsid w:val="00531928"/>
    <w:rsid w:val="005424D3"/>
    <w:rsid w:val="005440A4"/>
    <w:rsid w:val="00546A5A"/>
    <w:rsid w:val="00566580"/>
    <w:rsid w:val="00567AF3"/>
    <w:rsid w:val="005813DC"/>
    <w:rsid w:val="00583BC8"/>
    <w:rsid w:val="005A3EDE"/>
    <w:rsid w:val="005B5F8E"/>
    <w:rsid w:val="005C0E88"/>
    <w:rsid w:val="00654380"/>
    <w:rsid w:val="00664BE1"/>
    <w:rsid w:val="00684011"/>
    <w:rsid w:val="006B055C"/>
    <w:rsid w:val="006E32BB"/>
    <w:rsid w:val="006E38E0"/>
    <w:rsid w:val="00710599"/>
    <w:rsid w:val="00723F77"/>
    <w:rsid w:val="00744696"/>
    <w:rsid w:val="00772067"/>
    <w:rsid w:val="0077545D"/>
    <w:rsid w:val="007A0A4B"/>
    <w:rsid w:val="007A0E6C"/>
    <w:rsid w:val="007B1237"/>
    <w:rsid w:val="007B661D"/>
    <w:rsid w:val="007D19FF"/>
    <w:rsid w:val="007D2085"/>
    <w:rsid w:val="007D3F55"/>
    <w:rsid w:val="007D4181"/>
    <w:rsid w:val="0083454A"/>
    <w:rsid w:val="00837B38"/>
    <w:rsid w:val="00896554"/>
    <w:rsid w:val="008A7407"/>
    <w:rsid w:val="008F10C2"/>
    <w:rsid w:val="00902D2F"/>
    <w:rsid w:val="00961FDF"/>
    <w:rsid w:val="00983B7D"/>
    <w:rsid w:val="009A37C2"/>
    <w:rsid w:val="009F3AB8"/>
    <w:rsid w:val="009F4E05"/>
    <w:rsid w:val="00A11606"/>
    <w:rsid w:val="00A6401C"/>
    <w:rsid w:val="00A81AB7"/>
    <w:rsid w:val="00A92106"/>
    <w:rsid w:val="00A962ED"/>
    <w:rsid w:val="00AA522C"/>
    <w:rsid w:val="00AE7F3B"/>
    <w:rsid w:val="00B32A93"/>
    <w:rsid w:val="00B34260"/>
    <w:rsid w:val="00B41C02"/>
    <w:rsid w:val="00B4335A"/>
    <w:rsid w:val="00B50E38"/>
    <w:rsid w:val="00B554B8"/>
    <w:rsid w:val="00B64EE0"/>
    <w:rsid w:val="00B7258B"/>
    <w:rsid w:val="00B94D71"/>
    <w:rsid w:val="00BB0E32"/>
    <w:rsid w:val="00BB6D9D"/>
    <w:rsid w:val="00BC77A5"/>
    <w:rsid w:val="00BD3FC1"/>
    <w:rsid w:val="00C17ED7"/>
    <w:rsid w:val="00C41F15"/>
    <w:rsid w:val="00C5096A"/>
    <w:rsid w:val="00C70171"/>
    <w:rsid w:val="00C70A68"/>
    <w:rsid w:val="00C82E98"/>
    <w:rsid w:val="00CB17C9"/>
    <w:rsid w:val="00CC72FF"/>
    <w:rsid w:val="00CC7C21"/>
    <w:rsid w:val="00CE0886"/>
    <w:rsid w:val="00CF2516"/>
    <w:rsid w:val="00CF6D63"/>
    <w:rsid w:val="00D23B28"/>
    <w:rsid w:val="00D42FBD"/>
    <w:rsid w:val="00D46C8D"/>
    <w:rsid w:val="00D93223"/>
    <w:rsid w:val="00DA1359"/>
    <w:rsid w:val="00DE5444"/>
    <w:rsid w:val="00DF072F"/>
    <w:rsid w:val="00E32014"/>
    <w:rsid w:val="00E3639C"/>
    <w:rsid w:val="00E3727C"/>
    <w:rsid w:val="00EB3DD1"/>
    <w:rsid w:val="00EB58BA"/>
    <w:rsid w:val="00EE6B93"/>
    <w:rsid w:val="00F04A6E"/>
    <w:rsid w:val="00F04DEF"/>
    <w:rsid w:val="00F31070"/>
    <w:rsid w:val="00F53F10"/>
    <w:rsid w:val="00F636F8"/>
    <w:rsid w:val="00FA2C8E"/>
    <w:rsid w:val="00FC0029"/>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751</TotalTime>
  <Pages>3</Pages>
  <Words>493</Words>
  <Characters>2716</Characters>
  <Application>Microsoft Office Word</Application>
  <DocSecurity>0</DocSecurity>
  <Lines>22</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112</cp:revision>
  <dcterms:created xsi:type="dcterms:W3CDTF">2021-11-25T09:44:00Z</dcterms:created>
  <dcterms:modified xsi:type="dcterms:W3CDTF">2025-01-12T14:22:00Z</dcterms:modified>
</cp:coreProperties>
</file>