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94BF8A" w14:textId="7CB3900E" w:rsidR="00902D2F" w:rsidRPr="00263ED0" w:rsidRDefault="00263ED0" w:rsidP="00B41C02">
      <w:pPr>
        <w:jc w:val="both"/>
        <w:rPr>
          <w:rFonts w:ascii="Tahoma" w:hAnsi="Tahoma" w:cs="Tahoma"/>
          <w:sz w:val="48"/>
          <w:szCs w:val="48"/>
          <w:u w:val="single"/>
        </w:rPr>
      </w:pPr>
      <w:r>
        <w:rPr>
          <w:rFonts w:ascii="Tahoma" w:hAnsi="Tahoma" w:cs="Tahoma"/>
        </w:rPr>
        <w:t xml:space="preserve">                                      </w:t>
      </w:r>
      <w:r w:rsidR="003767E0">
        <w:rPr>
          <w:rFonts w:ascii="Tahoma" w:hAnsi="Tahoma" w:cs="Tahoma"/>
          <w:sz w:val="48"/>
          <w:szCs w:val="48"/>
          <w:u w:val="single"/>
        </w:rPr>
        <w:t>Bund</w:t>
      </w:r>
      <w:r w:rsidRPr="00263ED0">
        <w:rPr>
          <w:rFonts w:ascii="Tahoma" w:hAnsi="Tahoma" w:cs="Tahoma"/>
          <w:sz w:val="48"/>
          <w:szCs w:val="48"/>
          <w:u w:val="single"/>
        </w:rPr>
        <w:t xml:space="preserve"> </w:t>
      </w:r>
    </w:p>
    <w:p w14:paraId="6A0F7EC2" w14:textId="1956B176" w:rsidR="00902D2F" w:rsidRPr="00041E45" w:rsidRDefault="00902D2F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 w:rsidRPr="00041E45">
        <w:rPr>
          <w:rFonts w:ascii="Tahoma" w:hAnsi="Tahoma" w:cs="Tahoma"/>
          <w:sz w:val="32"/>
          <w:szCs w:val="32"/>
          <w:u w:val="single"/>
        </w:rPr>
        <w:t>Week</w:t>
      </w:r>
    </w:p>
    <w:p w14:paraId="2862B446" w14:textId="58ACD197" w:rsidR="00902D2F" w:rsidRDefault="0072127F" w:rsidP="00B41C02">
      <w:pPr>
        <w:jc w:val="both"/>
        <w:rPr>
          <w:rFonts w:ascii="Tahoma" w:hAnsi="Tahoma" w:cs="Tahoma"/>
        </w:rPr>
      </w:pPr>
      <w:r>
        <w:rPr>
          <w:noProof/>
        </w:rPr>
        <w:drawing>
          <wp:inline distT="0" distB="0" distL="0" distR="0" wp14:anchorId="1801513F" wp14:editId="027B4046">
            <wp:extent cx="5760720" cy="4320540"/>
            <wp:effectExtent l="0" t="0" r="0" b="3810"/>
            <wp:docPr id="486565467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5822D0" w14:textId="77777777" w:rsidR="006E32BB" w:rsidRDefault="006E32BB" w:rsidP="00B41C02">
      <w:pPr>
        <w:jc w:val="both"/>
        <w:rPr>
          <w:rFonts w:ascii="Tahoma" w:hAnsi="Tahoma" w:cs="Tahoma"/>
        </w:rPr>
      </w:pPr>
    </w:p>
    <w:p w14:paraId="7AC4D2D2" w14:textId="18C8F59F" w:rsidR="00DF072F" w:rsidRDefault="00BB6D9D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 </w:t>
      </w:r>
      <w:r w:rsidR="00041E45">
        <w:rPr>
          <w:rFonts w:ascii="Tahoma" w:hAnsi="Tahoma" w:cs="Tahoma"/>
        </w:rPr>
        <w:t>L</w:t>
      </w:r>
      <w:r w:rsidR="007E4DC1">
        <w:rPr>
          <w:rFonts w:ascii="Tahoma" w:hAnsi="Tahoma" w:cs="Tahoma"/>
        </w:rPr>
        <w:t xml:space="preserve">e contrat Bund reste cadré au sein d’une dérive latérale dont les bornes sont </w:t>
      </w:r>
      <w:r w:rsidR="00425014">
        <w:rPr>
          <w:rFonts w:ascii="Tahoma" w:hAnsi="Tahoma" w:cs="Tahoma"/>
        </w:rPr>
        <w:t>139.09</w:t>
      </w:r>
      <w:r w:rsidR="007E4DC1">
        <w:rPr>
          <w:rFonts w:ascii="Tahoma" w:hAnsi="Tahoma" w:cs="Tahoma"/>
        </w:rPr>
        <w:t xml:space="preserve"> et 128.40. Le point d’équilibre se situe quant à lui sur 134.29.</w:t>
      </w:r>
    </w:p>
    <w:p w14:paraId="1F42A098" w14:textId="68439BE0" w:rsidR="00207042" w:rsidRDefault="00207042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I</w:t>
      </w:r>
      <w:r>
        <w:rPr>
          <w:rFonts w:ascii="Tahoma" w:hAnsi="Tahoma" w:cs="Tahoma"/>
        </w:rPr>
        <w:t>l y a plusieurs semaines de cela</w:t>
      </w:r>
      <w:r>
        <w:rPr>
          <w:rFonts w:ascii="Tahoma" w:hAnsi="Tahoma" w:cs="Tahoma"/>
        </w:rPr>
        <w:t>,</w:t>
      </w:r>
      <w:r w:rsidR="007E4DC1">
        <w:rPr>
          <w:rFonts w:ascii="Tahoma" w:hAnsi="Tahoma" w:cs="Tahoma"/>
        </w:rPr>
        <w:t xml:space="preserve"> la cassure de ce point médian de 134.29, a donné un avantage à la baisse en direction de la borne basse de 128.40</w:t>
      </w:r>
      <w:r>
        <w:rPr>
          <w:rFonts w:ascii="Tahoma" w:hAnsi="Tahoma" w:cs="Tahoma"/>
        </w:rPr>
        <w:t xml:space="preserve"> tout en restant dans une logique de neutralité de moyen terme sous </w:t>
      </w:r>
      <w:r w:rsidR="00425014">
        <w:rPr>
          <w:rFonts w:ascii="Tahoma" w:hAnsi="Tahoma" w:cs="Tahoma"/>
        </w:rPr>
        <w:t>139.09</w:t>
      </w:r>
      <w:r>
        <w:rPr>
          <w:rFonts w:ascii="Tahoma" w:hAnsi="Tahoma" w:cs="Tahoma"/>
        </w:rPr>
        <w:t xml:space="preserve"> et au dessus de 128.40.</w:t>
      </w:r>
    </w:p>
    <w:p w14:paraId="52643443" w14:textId="69F3198D" w:rsidR="007E4DC1" w:rsidRDefault="009453EB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Après un plus bas </w:t>
      </w:r>
      <w:r w:rsidR="00207042">
        <w:rPr>
          <w:rFonts w:ascii="Tahoma" w:hAnsi="Tahoma" w:cs="Tahoma"/>
        </w:rPr>
        <w:t xml:space="preserve">cette semaine </w:t>
      </w:r>
      <w:r>
        <w:rPr>
          <w:rFonts w:ascii="Tahoma" w:hAnsi="Tahoma" w:cs="Tahoma"/>
        </w:rPr>
        <w:t>à 130.28, la dernière chandelle blanche</w:t>
      </w:r>
      <w:r w:rsidR="00207042">
        <w:rPr>
          <w:rFonts w:ascii="Tahoma" w:hAnsi="Tahoma" w:cs="Tahoma"/>
        </w:rPr>
        <w:t xml:space="preserve"> a</w:t>
      </w:r>
      <w:r>
        <w:rPr>
          <w:rFonts w:ascii="Tahoma" w:hAnsi="Tahoma" w:cs="Tahoma"/>
        </w:rPr>
        <w:t xml:space="preserve"> dessin</w:t>
      </w:r>
      <w:r w:rsidR="00207042">
        <w:rPr>
          <w:rFonts w:ascii="Tahoma" w:hAnsi="Tahoma" w:cs="Tahoma"/>
        </w:rPr>
        <w:t xml:space="preserve">é </w:t>
      </w:r>
      <w:r>
        <w:rPr>
          <w:rFonts w:ascii="Tahoma" w:hAnsi="Tahoma" w:cs="Tahoma"/>
        </w:rPr>
        <w:t>avec la précédente une structure en pénétrante.</w:t>
      </w:r>
      <w:r w:rsidR="00461691">
        <w:rPr>
          <w:rFonts w:ascii="Tahoma" w:hAnsi="Tahoma" w:cs="Tahoma"/>
        </w:rPr>
        <w:t xml:space="preserve"> Cette formation se classe dans les alertes haussières. </w:t>
      </w:r>
      <w:r w:rsidR="00207042">
        <w:rPr>
          <w:rFonts w:ascii="Tahoma" w:hAnsi="Tahoma" w:cs="Tahoma"/>
        </w:rPr>
        <w:t>Une</w:t>
      </w:r>
      <w:r w:rsidR="00461691">
        <w:rPr>
          <w:rFonts w:ascii="Tahoma" w:hAnsi="Tahoma" w:cs="Tahoma"/>
        </w:rPr>
        <w:t xml:space="preserve"> poursuite de la hausse sera </w:t>
      </w:r>
      <w:r w:rsidR="00AD1D68">
        <w:rPr>
          <w:rFonts w:ascii="Tahoma" w:hAnsi="Tahoma" w:cs="Tahoma"/>
        </w:rPr>
        <w:t>nécessaire</w:t>
      </w:r>
      <w:r w:rsidR="00461691">
        <w:rPr>
          <w:rFonts w:ascii="Tahoma" w:hAnsi="Tahoma" w:cs="Tahoma"/>
        </w:rPr>
        <w:t xml:space="preserve"> pour envisager la fin de la vague baissière et un retour des prix sur le point d’équilibre de 134.29.</w:t>
      </w:r>
      <w:r w:rsidR="007E4DC1">
        <w:rPr>
          <w:rFonts w:ascii="Tahoma" w:hAnsi="Tahoma" w:cs="Tahoma"/>
        </w:rPr>
        <w:t xml:space="preserve"> </w:t>
      </w:r>
    </w:p>
    <w:p w14:paraId="374D1F17" w14:textId="24AE7426" w:rsidR="00583BC8" w:rsidRDefault="00583BC8" w:rsidP="00B41C02">
      <w:pPr>
        <w:jc w:val="both"/>
        <w:rPr>
          <w:rFonts w:ascii="Tahoma" w:hAnsi="Tahoma" w:cs="Tahoma"/>
        </w:rPr>
      </w:pPr>
    </w:p>
    <w:p w14:paraId="53AA9186" w14:textId="5A12989E" w:rsidR="00583BC8" w:rsidRPr="00041E45" w:rsidRDefault="00583BC8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 w:rsidRPr="00041E45">
        <w:rPr>
          <w:rFonts w:ascii="Tahoma" w:hAnsi="Tahoma" w:cs="Tahoma"/>
          <w:sz w:val="32"/>
          <w:szCs w:val="32"/>
          <w:u w:val="single"/>
        </w:rPr>
        <w:t>DAY</w:t>
      </w:r>
    </w:p>
    <w:p w14:paraId="1675B8DF" w14:textId="618B004F" w:rsidR="00583BC8" w:rsidRDefault="0072127F" w:rsidP="00B41C02">
      <w:pPr>
        <w:jc w:val="both"/>
        <w:rPr>
          <w:rFonts w:ascii="Tahoma" w:hAnsi="Tahoma" w:cs="Tahoma"/>
        </w:rPr>
      </w:pPr>
      <w:r>
        <w:rPr>
          <w:noProof/>
        </w:rPr>
        <w:lastRenderedPageBreak/>
        <w:drawing>
          <wp:inline distT="0" distB="0" distL="0" distR="0" wp14:anchorId="541E98A2" wp14:editId="3D23D402">
            <wp:extent cx="5760720" cy="3840480"/>
            <wp:effectExtent l="0" t="0" r="0" b="7620"/>
            <wp:docPr id="214646039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40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0BA38C" w14:textId="05A13D4A" w:rsidR="00163C46" w:rsidRDefault="0051781E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La semaine dernière j’avais évoqué la possibilité d’un rebond du marché. La configuration graphique et l’indicateur technique survendu m’évoquaient cette éventualité.</w:t>
      </w:r>
    </w:p>
    <w:p w14:paraId="67B8B186" w14:textId="3917735D" w:rsidR="00467005" w:rsidRDefault="00E06E48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La baisse sur le court terme s’est </w:t>
      </w:r>
      <w:r w:rsidR="00AD1D68">
        <w:rPr>
          <w:rFonts w:ascii="Tahoma" w:hAnsi="Tahoma" w:cs="Tahoma"/>
        </w:rPr>
        <w:t>arrêtée</w:t>
      </w:r>
      <w:r>
        <w:rPr>
          <w:rFonts w:ascii="Tahoma" w:hAnsi="Tahoma" w:cs="Tahoma"/>
        </w:rPr>
        <w:t xml:space="preserve"> suite à la formation d’une structure </w:t>
      </w:r>
      <w:r w:rsidR="0051781E">
        <w:rPr>
          <w:rFonts w:ascii="Tahoma" w:hAnsi="Tahoma" w:cs="Tahoma"/>
        </w:rPr>
        <w:t xml:space="preserve">d’alerte en creux en pince et d’une formation </w:t>
      </w:r>
      <w:r>
        <w:rPr>
          <w:rFonts w:ascii="Tahoma" w:hAnsi="Tahoma" w:cs="Tahoma"/>
        </w:rPr>
        <w:t>de retournement en avalement haussier. La dernière chandelle blanche</w:t>
      </w:r>
      <w:r w:rsidR="0051781E">
        <w:rPr>
          <w:rFonts w:ascii="Tahoma" w:hAnsi="Tahoma" w:cs="Tahoma"/>
        </w:rPr>
        <w:t xml:space="preserve"> de l’avalement</w:t>
      </w:r>
      <w:r>
        <w:rPr>
          <w:rFonts w:ascii="Tahoma" w:hAnsi="Tahoma" w:cs="Tahoma"/>
        </w:rPr>
        <w:t xml:space="preserve"> revient sur plusieurs séances </w:t>
      </w:r>
      <w:r w:rsidR="00207042">
        <w:rPr>
          <w:rFonts w:ascii="Tahoma" w:hAnsi="Tahoma" w:cs="Tahoma"/>
        </w:rPr>
        <w:t>et</w:t>
      </w:r>
      <w:r>
        <w:rPr>
          <w:rFonts w:ascii="Tahoma" w:hAnsi="Tahoma" w:cs="Tahoma"/>
        </w:rPr>
        <w:t xml:space="preserve"> lui donne </w:t>
      </w:r>
      <w:r w:rsidR="00207042">
        <w:rPr>
          <w:rFonts w:ascii="Tahoma" w:hAnsi="Tahoma" w:cs="Tahoma"/>
        </w:rPr>
        <w:t xml:space="preserve">ainsi </w:t>
      </w:r>
      <w:r>
        <w:rPr>
          <w:rFonts w:ascii="Tahoma" w:hAnsi="Tahoma" w:cs="Tahoma"/>
        </w:rPr>
        <w:t xml:space="preserve">un peu plus de force. </w:t>
      </w:r>
    </w:p>
    <w:p w14:paraId="063B0BC0" w14:textId="50C999E9" w:rsidR="00E06E48" w:rsidRDefault="00E06E48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Aujourd’hui, la structure en avalement est renforcée par l’évolution du Stochastique qui repart à la hausse après une longue évolution en zone de survente</w:t>
      </w:r>
      <w:r w:rsidR="00897011">
        <w:rPr>
          <w:rFonts w:ascii="Tahoma" w:hAnsi="Tahoma" w:cs="Tahoma"/>
        </w:rPr>
        <w:t>, en inertie baissière.</w:t>
      </w:r>
    </w:p>
    <w:p w14:paraId="1D1C974D" w14:textId="79BEA0E4" w:rsidR="00CC0E49" w:rsidRDefault="00E06E48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La question qui m’a été posée </w:t>
      </w:r>
      <w:r w:rsidR="00897011">
        <w:rPr>
          <w:rFonts w:ascii="Tahoma" w:hAnsi="Tahoma" w:cs="Tahoma"/>
        </w:rPr>
        <w:t>au cours de l</w:t>
      </w:r>
      <w:r w:rsidR="00AD2A8A">
        <w:rPr>
          <w:rFonts w:ascii="Tahoma" w:hAnsi="Tahoma" w:cs="Tahoma"/>
        </w:rPr>
        <w:t>a</w:t>
      </w:r>
      <w:r>
        <w:rPr>
          <w:rFonts w:ascii="Tahoma" w:hAnsi="Tahoma" w:cs="Tahoma"/>
        </w:rPr>
        <w:t xml:space="preserve"> semaine port</w:t>
      </w:r>
      <w:r w:rsidR="00AD2A8A">
        <w:rPr>
          <w:rFonts w:ascii="Tahoma" w:hAnsi="Tahoma" w:cs="Tahoma"/>
        </w:rPr>
        <w:t>ait</w:t>
      </w:r>
      <w:r>
        <w:rPr>
          <w:rFonts w:ascii="Tahoma" w:hAnsi="Tahoma" w:cs="Tahoma"/>
        </w:rPr>
        <w:t xml:space="preserve"> sur l</w:t>
      </w:r>
      <w:r w:rsidR="00C251BE">
        <w:rPr>
          <w:rFonts w:ascii="Tahoma" w:hAnsi="Tahoma" w:cs="Tahoma"/>
        </w:rPr>
        <w:t>e rapport de force acheteurs/vendeurs</w:t>
      </w:r>
      <w:r w:rsidR="00897011">
        <w:rPr>
          <w:rFonts w:ascii="Tahoma" w:hAnsi="Tahoma" w:cs="Tahoma"/>
        </w:rPr>
        <w:t xml:space="preserve"> au moment de la petite correction qui a suivi la longue ch</w:t>
      </w:r>
      <w:r w:rsidR="00EB6F20">
        <w:rPr>
          <w:rFonts w:ascii="Tahoma" w:hAnsi="Tahoma" w:cs="Tahoma"/>
        </w:rPr>
        <w:t>an</w:t>
      </w:r>
      <w:r w:rsidR="00897011">
        <w:rPr>
          <w:rFonts w:ascii="Tahoma" w:hAnsi="Tahoma" w:cs="Tahoma"/>
        </w:rPr>
        <w:t>delle blanche</w:t>
      </w:r>
      <w:r w:rsidR="00C251BE">
        <w:rPr>
          <w:rFonts w:ascii="Tahoma" w:hAnsi="Tahoma" w:cs="Tahoma"/>
        </w:rPr>
        <w:t xml:space="preserve">. Ma réponse </w:t>
      </w:r>
      <w:r w:rsidR="0051781E">
        <w:rPr>
          <w:rFonts w:ascii="Tahoma" w:hAnsi="Tahoma" w:cs="Tahoma"/>
        </w:rPr>
        <w:t>a été</w:t>
      </w:r>
      <w:r w:rsidR="00C251BE">
        <w:rPr>
          <w:rFonts w:ascii="Tahoma" w:hAnsi="Tahoma" w:cs="Tahoma"/>
        </w:rPr>
        <w:t xml:space="preserve"> la suivante. La longue bougie blanche se situe là où elle doit être c’est-à-dire dans un creux de marché.</w:t>
      </w:r>
      <w:r w:rsidR="00EB6F20">
        <w:rPr>
          <w:rFonts w:ascii="Tahoma" w:hAnsi="Tahoma" w:cs="Tahoma"/>
        </w:rPr>
        <w:t xml:space="preserve"> Elle est positive.</w:t>
      </w:r>
      <w:r w:rsidR="00C251BE">
        <w:rPr>
          <w:rFonts w:ascii="Tahoma" w:hAnsi="Tahoma" w:cs="Tahoma"/>
        </w:rPr>
        <w:t xml:space="preserve"> Elle traduit l’arrivée d’acheteurs qui reprennent en main </w:t>
      </w:r>
      <w:r w:rsidR="0051781E">
        <w:rPr>
          <w:rFonts w:ascii="Tahoma" w:hAnsi="Tahoma" w:cs="Tahoma"/>
        </w:rPr>
        <w:t xml:space="preserve">les échanges </w:t>
      </w:r>
      <w:r w:rsidR="00C251BE">
        <w:rPr>
          <w:rFonts w:ascii="Tahoma" w:hAnsi="Tahoma" w:cs="Tahoma"/>
        </w:rPr>
        <w:t xml:space="preserve">sur un niveau de prix jugé opportun. </w:t>
      </w:r>
      <w:r w:rsidR="00897011">
        <w:rPr>
          <w:rFonts w:ascii="Tahoma" w:hAnsi="Tahoma" w:cs="Tahoma"/>
        </w:rPr>
        <w:t>Une correction jusqu’au</w:t>
      </w:r>
      <w:r w:rsidR="00C251BE">
        <w:rPr>
          <w:rFonts w:ascii="Tahoma" w:hAnsi="Tahoma" w:cs="Tahoma"/>
        </w:rPr>
        <w:t xml:space="preserve"> point médian du marubozu blanc de 130.92 montrera </w:t>
      </w:r>
      <w:r w:rsidR="00897011">
        <w:rPr>
          <w:rFonts w:ascii="Tahoma" w:hAnsi="Tahoma" w:cs="Tahoma"/>
        </w:rPr>
        <w:t>le degré de</w:t>
      </w:r>
      <w:r w:rsidR="00C251BE">
        <w:rPr>
          <w:rFonts w:ascii="Tahoma" w:hAnsi="Tahoma" w:cs="Tahoma"/>
        </w:rPr>
        <w:t xml:space="preserve"> conviction des haussiers. Tou</w:t>
      </w:r>
      <w:r w:rsidR="00AD2A8A">
        <w:rPr>
          <w:rFonts w:ascii="Tahoma" w:hAnsi="Tahoma" w:cs="Tahoma"/>
        </w:rPr>
        <w:t>t</w:t>
      </w:r>
      <w:r w:rsidR="00C251BE">
        <w:rPr>
          <w:rFonts w:ascii="Tahoma" w:hAnsi="Tahoma" w:cs="Tahoma"/>
        </w:rPr>
        <w:t xml:space="preserve"> recul </w:t>
      </w:r>
      <w:r w:rsidR="009B7550">
        <w:rPr>
          <w:rFonts w:ascii="Tahoma" w:hAnsi="Tahoma" w:cs="Tahoma"/>
        </w:rPr>
        <w:t>sera alors mis à profit pour ouvrir des positions longues.</w:t>
      </w:r>
      <w:r w:rsidR="0051781E">
        <w:rPr>
          <w:rFonts w:ascii="Tahoma" w:hAnsi="Tahoma" w:cs="Tahoma"/>
        </w:rPr>
        <w:t xml:space="preserve"> Un maintien </w:t>
      </w:r>
      <w:r w:rsidR="00AD1D68">
        <w:rPr>
          <w:rFonts w:ascii="Tahoma" w:hAnsi="Tahoma" w:cs="Tahoma"/>
        </w:rPr>
        <w:t>au-dessus</w:t>
      </w:r>
      <w:r w:rsidR="0051781E">
        <w:rPr>
          <w:rFonts w:ascii="Tahoma" w:hAnsi="Tahoma" w:cs="Tahoma"/>
        </w:rPr>
        <w:t xml:space="preserve"> de 130.92 indiquera un </w:t>
      </w:r>
      <w:r w:rsidR="00897011">
        <w:rPr>
          <w:rFonts w:ascii="Tahoma" w:hAnsi="Tahoma" w:cs="Tahoma"/>
        </w:rPr>
        <w:t>niveau</w:t>
      </w:r>
      <w:r w:rsidR="0051781E">
        <w:rPr>
          <w:rFonts w:ascii="Tahoma" w:hAnsi="Tahoma" w:cs="Tahoma"/>
        </w:rPr>
        <w:t xml:space="preserve"> de conviction fort. Un retour </w:t>
      </w:r>
      <w:r w:rsidR="00897011">
        <w:rPr>
          <w:rFonts w:ascii="Tahoma" w:hAnsi="Tahoma" w:cs="Tahoma"/>
        </w:rPr>
        <w:t>plus</w:t>
      </w:r>
      <w:r w:rsidR="0051781E">
        <w:rPr>
          <w:rFonts w:ascii="Tahoma" w:hAnsi="Tahoma" w:cs="Tahoma"/>
        </w:rPr>
        <w:t xml:space="preserve"> étendu sur 130.28, base de la chandelle blanche, restera inscrit </w:t>
      </w:r>
      <w:r w:rsidR="00897011">
        <w:rPr>
          <w:rFonts w:ascii="Tahoma" w:hAnsi="Tahoma" w:cs="Tahoma"/>
        </w:rPr>
        <w:t xml:space="preserve">quant à lui </w:t>
      </w:r>
      <w:r w:rsidR="0051781E">
        <w:rPr>
          <w:rFonts w:ascii="Tahoma" w:hAnsi="Tahoma" w:cs="Tahoma"/>
        </w:rPr>
        <w:t xml:space="preserve">dans un environnement favorable </w:t>
      </w:r>
      <w:r w:rsidR="00EB6F20">
        <w:rPr>
          <w:rFonts w:ascii="Tahoma" w:hAnsi="Tahoma" w:cs="Tahoma"/>
        </w:rPr>
        <w:t>à la hausse</w:t>
      </w:r>
      <w:r w:rsidR="00897011">
        <w:rPr>
          <w:rFonts w:ascii="Tahoma" w:hAnsi="Tahoma" w:cs="Tahoma"/>
        </w:rPr>
        <w:t xml:space="preserve"> </w:t>
      </w:r>
      <w:r w:rsidR="0038059C">
        <w:rPr>
          <w:rFonts w:ascii="Tahoma" w:hAnsi="Tahoma" w:cs="Tahoma"/>
        </w:rPr>
        <w:t>qui</w:t>
      </w:r>
      <w:r w:rsidR="00897011">
        <w:rPr>
          <w:rFonts w:ascii="Tahoma" w:hAnsi="Tahoma" w:cs="Tahoma"/>
        </w:rPr>
        <w:t xml:space="preserve"> peut </w:t>
      </w:r>
      <w:r w:rsidR="00EB6F20">
        <w:rPr>
          <w:rFonts w:ascii="Tahoma" w:hAnsi="Tahoma" w:cs="Tahoma"/>
        </w:rPr>
        <w:t xml:space="preserve">dans un premier temps </w:t>
      </w:r>
      <w:r w:rsidR="00897011">
        <w:rPr>
          <w:rFonts w:ascii="Tahoma" w:hAnsi="Tahoma" w:cs="Tahoma"/>
        </w:rPr>
        <w:t>déboucher sur une période de consolidation.</w:t>
      </w:r>
    </w:p>
    <w:p w14:paraId="06BD050B" w14:textId="2CC68B5E" w:rsidR="00E06E48" w:rsidRDefault="00CC0E49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Dans ce contexte les haussiers devraient continuer à dominer les échanges. Les retracements de Fibonacci</w:t>
      </w:r>
      <w:r w:rsidR="00FD17B8">
        <w:rPr>
          <w:rFonts w:ascii="Tahoma" w:hAnsi="Tahoma" w:cs="Tahoma"/>
        </w:rPr>
        <w:t xml:space="preserve"> donneront les résistances à la hausse à savoir 132.84 (38.2%) 133.64 (50%) et 134.44 (61.8%).</w:t>
      </w:r>
      <w:r>
        <w:rPr>
          <w:rFonts w:ascii="Tahoma" w:hAnsi="Tahoma" w:cs="Tahoma"/>
        </w:rPr>
        <w:t xml:space="preserve"> </w:t>
      </w:r>
      <w:r w:rsidR="0051781E">
        <w:rPr>
          <w:rFonts w:ascii="Tahoma" w:hAnsi="Tahoma" w:cs="Tahoma"/>
        </w:rPr>
        <w:tab/>
      </w:r>
    </w:p>
    <w:p w14:paraId="7FA0B778" w14:textId="32CD6836" w:rsidR="00D12EBC" w:rsidRDefault="00B94D71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  <w:u w:val="single"/>
        </w:rPr>
        <w:t>CONCLUSION</w:t>
      </w:r>
      <w:r>
        <w:rPr>
          <w:rFonts w:ascii="Tahoma" w:hAnsi="Tahoma" w:cs="Tahoma"/>
        </w:rPr>
        <w:t> :</w:t>
      </w:r>
      <w:r w:rsidR="00736E16">
        <w:rPr>
          <w:rFonts w:ascii="Tahoma" w:hAnsi="Tahoma" w:cs="Tahoma"/>
        </w:rPr>
        <w:t xml:space="preserve"> Haussier </w:t>
      </w:r>
      <w:r w:rsidR="00AD1D68">
        <w:rPr>
          <w:rFonts w:ascii="Tahoma" w:hAnsi="Tahoma" w:cs="Tahoma"/>
        </w:rPr>
        <w:t>au-dessus</w:t>
      </w:r>
      <w:r w:rsidR="00736E16">
        <w:rPr>
          <w:rFonts w:ascii="Tahoma" w:hAnsi="Tahoma" w:cs="Tahoma"/>
        </w:rPr>
        <w:t xml:space="preserve"> de 130.28 au sein d’une large dérive latérale de moyen terme comprise entre 128.40 et </w:t>
      </w:r>
      <w:r w:rsidR="00F8591F">
        <w:rPr>
          <w:rFonts w:ascii="Tahoma" w:hAnsi="Tahoma" w:cs="Tahoma"/>
        </w:rPr>
        <w:t>139.09</w:t>
      </w:r>
      <w:r w:rsidR="00736E16">
        <w:rPr>
          <w:rFonts w:ascii="Tahoma" w:hAnsi="Tahoma" w:cs="Tahoma"/>
        </w:rPr>
        <w:t>.</w:t>
      </w:r>
    </w:p>
    <w:p w14:paraId="01260563" w14:textId="4380D793" w:rsidR="00E3727C" w:rsidRPr="00EE6B93" w:rsidRDefault="00EE6B93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  <w:r>
        <w:rPr>
          <w:rFonts w:ascii="Tahoma" w:hAnsi="Tahoma" w:cs="Tahoma"/>
        </w:rPr>
        <w:t xml:space="preserve">                                                                      </w:t>
      </w:r>
      <w:r w:rsidRPr="00EE6B93">
        <w:rPr>
          <w:rFonts w:ascii="Tahoma" w:hAnsi="Tahoma" w:cs="Tahoma"/>
          <w:b/>
          <w:bCs/>
          <w:sz w:val="28"/>
          <w:szCs w:val="28"/>
          <w:u w:val="single"/>
        </w:rPr>
        <w:t>ATTAL JEAN-LUC</w:t>
      </w:r>
    </w:p>
    <w:p w14:paraId="7ECBFD62" w14:textId="4026536A" w:rsidR="00723F77" w:rsidRDefault="00723F77" w:rsidP="00041E45">
      <w:pPr>
        <w:jc w:val="both"/>
        <w:rPr>
          <w:rFonts w:ascii="Tahoma" w:hAnsi="Tahoma" w:cs="Tahoma"/>
        </w:rPr>
      </w:pPr>
    </w:p>
    <w:p w14:paraId="195ADAF5" w14:textId="4D8EAD7D" w:rsidR="00EE6B93" w:rsidRDefault="00EE6B93" w:rsidP="00041E45">
      <w:pPr>
        <w:jc w:val="both"/>
        <w:rPr>
          <w:rFonts w:ascii="Tahoma" w:hAnsi="Tahoma" w:cs="Tahoma"/>
        </w:rPr>
      </w:pPr>
    </w:p>
    <w:p w14:paraId="75A26EFF" w14:textId="77777777" w:rsidR="00EE6B93" w:rsidRDefault="00EE6B93" w:rsidP="00041E45">
      <w:pPr>
        <w:jc w:val="both"/>
        <w:rPr>
          <w:rFonts w:ascii="Tahoma" w:hAnsi="Tahoma" w:cs="Tahoma"/>
        </w:rPr>
      </w:pPr>
    </w:p>
    <w:p w14:paraId="22FFB91E" w14:textId="77777777" w:rsidR="00723F77" w:rsidRPr="00723F77" w:rsidRDefault="00467005" w:rsidP="00723F77">
      <w:pPr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>
        <w:rPr>
          <w:rFonts w:ascii="Tahoma" w:hAnsi="Tahoma" w:cs="Tahoma"/>
        </w:rPr>
        <w:t xml:space="preserve"> </w:t>
      </w:r>
      <w:r w:rsidR="00723F77" w:rsidRPr="00723F77">
        <w:rPr>
          <w:rFonts w:ascii="Arial" w:eastAsia="Calibri" w:hAnsi="Arial" w:cs="Arial"/>
          <w:b/>
          <w:i/>
          <w:color w:val="993366"/>
          <w:sz w:val="24"/>
          <w:szCs w:val="24"/>
          <w:lang w:eastAsia="fr-FR"/>
        </w:rPr>
        <w:t>TS (mauve)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 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sur les 9 dernières périodes</w:t>
      </w:r>
    </w:p>
    <w:p w14:paraId="476D8B5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5087617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4B322C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008000"/>
          <w:sz w:val="24"/>
          <w:szCs w:val="24"/>
          <w:lang w:eastAsia="fr-FR"/>
        </w:rPr>
        <w:t>KS (vert)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sur les 26 dernières périodes</w:t>
      </w:r>
    </w:p>
    <w:p w14:paraId="1749A1CE" w14:textId="2AA954BF" w:rsid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3D24FC8E" w14:textId="77777777" w:rsidR="00E3727C" w:rsidRPr="00723F77" w:rsidRDefault="00E3727C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ED1253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FF6600"/>
          <w:sz w:val="24"/>
          <w:szCs w:val="24"/>
          <w:lang w:eastAsia="fr-FR"/>
        </w:rPr>
        <w:t>LS (orange)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clôture                                           décalée de 26 périodes en arrière</w:t>
      </w:r>
    </w:p>
    <w:p w14:paraId="388C9BF9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5486A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SSA (bordure du nuage) =  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TS + KS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projetée 26 périodes en avant</w:t>
      </w:r>
    </w:p>
    <w:p w14:paraId="463A431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2</w:t>
      </w:r>
    </w:p>
    <w:p w14:paraId="442D7A8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FC2D32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SSB (bordure opposée du nuage)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sur les 52 dernières </w:t>
      </w:r>
    </w:p>
    <w:p w14:paraId="102B62E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                       2</w:t>
      </w:r>
    </w:p>
    <w:p w14:paraId="6B7DE25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760830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périodes, projetées 26 périodes en avant</w:t>
      </w:r>
    </w:p>
    <w:p w14:paraId="2C8EE37B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B9B3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F37BD65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Unités de temps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 : </w:t>
      </w:r>
    </w:p>
    <w:p w14:paraId="4869BE0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BAC255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W: weekly</w:t>
      </w:r>
    </w:p>
    <w:p w14:paraId="3620DAF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57DDCB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D: daily</w:t>
      </w:r>
    </w:p>
    <w:p w14:paraId="6889839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E8B192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H4: base 4 heures  </w:t>
      </w:r>
    </w:p>
    <w:p w14:paraId="395064A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C31335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H1 : base horaire</w:t>
      </w:r>
    </w:p>
    <w:p w14:paraId="668BECBE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1062831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30M : base 30 minutes</w:t>
      </w:r>
    </w:p>
    <w:p w14:paraId="04409A4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03B719" w14:textId="3D6A3070" w:rsidR="00467005" w:rsidRPr="00467005" w:rsidRDefault="00467005" w:rsidP="00041E45">
      <w:pPr>
        <w:jc w:val="both"/>
        <w:rPr>
          <w:rFonts w:ascii="Tahoma" w:hAnsi="Tahoma" w:cs="Tahoma"/>
        </w:rPr>
      </w:pPr>
    </w:p>
    <w:sectPr w:rsidR="00467005" w:rsidRPr="004670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3AB8"/>
    <w:rsid w:val="0002580A"/>
    <w:rsid w:val="00041E45"/>
    <w:rsid w:val="000524C5"/>
    <w:rsid w:val="000556C3"/>
    <w:rsid w:val="000833FB"/>
    <w:rsid w:val="00092058"/>
    <w:rsid w:val="000938CC"/>
    <w:rsid w:val="000B221E"/>
    <w:rsid w:val="000B7DFC"/>
    <w:rsid w:val="000C0DE4"/>
    <w:rsid w:val="000D4ED3"/>
    <w:rsid w:val="001018AD"/>
    <w:rsid w:val="00103ED4"/>
    <w:rsid w:val="00105B4E"/>
    <w:rsid w:val="00134AFA"/>
    <w:rsid w:val="00135766"/>
    <w:rsid w:val="0014687D"/>
    <w:rsid w:val="0015581D"/>
    <w:rsid w:val="00163C46"/>
    <w:rsid w:val="001705F4"/>
    <w:rsid w:val="00190995"/>
    <w:rsid w:val="001A4796"/>
    <w:rsid w:val="001D474B"/>
    <w:rsid w:val="001F650A"/>
    <w:rsid w:val="002003AD"/>
    <w:rsid w:val="00207042"/>
    <w:rsid w:val="002421FE"/>
    <w:rsid w:val="00262E25"/>
    <w:rsid w:val="00263ED0"/>
    <w:rsid w:val="002A1F8E"/>
    <w:rsid w:val="002B5CB1"/>
    <w:rsid w:val="002C0A31"/>
    <w:rsid w:val="002F54B0"/>
    <w:rsid w:val="00303214"/>
    <w:rsid w:val="0030643B"/>
    <w:rsid w:val="00337611"/>
    <w:rsid w:val="00340FD9"/>
    <w:rsid w:val="00352DD9"/>
    <w:rsid w:val="003767E0"/>
    <w:rsid w:val="0038059C"/>
    <w:rsid w:val="00397D3D"/>
    <w:rsid w:val="0040171B"/>
    <w:rsid w:val="00425014"/>
    <w:rsid w:val="00461691"/>
    <w:rsid w:val="00467005"/>
    <w:rsid w:val="004A2D2D"/>
    <w:rsid w:val="004A5154"/>
    <w:rsid w:val="004F48EE"/>
    <w:rsid w:val="0051781E"/>
    <w:rsid w:val="00531928"/>
    <w:rsid w:val="005440A4"/>
    <w:rsid w:val="00546A5A"/>
    <w:rsid w:val="00566580"/>
    <w:rsid w:val="00567AF3"/>
    <w:rsid w:val="00583BC8"/>
    <w:rsid w:val="005F7062"/>
    <w:rsid w:val="00654380"/>
    <w:rsid w:val="00664BE1"/>
    <w:rsid w:val="006B055C"/>
    <w:rsid w:val="006E32BB"/>
    <w:rsid w:val="006E38E0"/>
    <w:rsid w:val="00710599"/>
    <w:rsid w:val="0072127F"/>
    <w:rsid w:val="00723F77"/>
    <w:rsid w:val="00736E16"/>
    <w:rsid w:val="00744696"/>
    <w:rsid w:val="00772067"/>
    <w:rsid w:val="0077545D"/>
    <w:rsid w:val="007A0A4B"/>
    <w:rsid w:val="007A0E6C"/>
    <w:rsid w:val="007B1237"/>
    <w:rsid w:val="007B661D"/>
    <w:rsid w:val="007D19FF"/>
    <w:rsid w:val="007D2085"/>
    <w:rsid w:val="007D4181"/>
    <w:rsid w:val="007E4DC1"/>
    <w:rsid w:val="0083454A"/>
    <w:rsid w:val="00837B38"/>
    <w:rsid w:val="00896554"/>
    <w:rsid w:val="00897011"/>
    <w:rsid w:val="008A7407"/>
    <w:rsid w:val="008F10C2"/>
    <w:rsid w:val="00902D2F"/>
    <w:rsid w:val="009453EB"/>
    <w:rsid w:val="00961FDF"/>
    <w:rsid w:val="00983B7D"/>
    <w:rsid w:val="009A37C2"/>
    <w:rsid w:val="009B7550"/>
    <w:rsid w:val="009F3AB8"/>
    <w:rsid w:val="00A11606"/>
    <w:rsid w:val="00A6401C"/>
    <w:rsid w:val="00A81AB7"/>
    <w:rsid w:val="00AA522C"/>
    <w:rsid w:val="00AD1D68"/>
    <w:rsid w:val="00AD2A8A"/>
    <w:rsid w:val="00AE7F3B"/>
    <w:rsid w:val="00B34260"/>
    <w:rsid w:val="00B41C02"/>
    <w:rsid w:val="00B4335A"/>
    <w:rsid w:val="00B50E38"/>
    <w:rsid w:val="00B554B8"/>
    <w:rsid w:val="00B64EE0"/>
    <w:rsid w:val="00B94D71"/>
    <w:rsid w:val="00BB0E32"/>
    <w:rsid w:val="00BB6D9D"/>
    <w:rsid w:val="00BC77A5"/>
    <w:rsid w:val="00BD3FC1"/>
    <w:rsid w:val="00C17ED7"/>
    <w:rsid w:val="00C251BE"/>
    <w:rsid w:val="00C41F15"/>
    <w:rsid w:val="00C70171"/>
    <w:rsid w:val="00C70A68"/>
    <w:rsid w:val="00C82E98"/>
    <w:rsid w:val="00CB17C9"/>
    <w:rsid w:val="00CC0E49"/>
    <w:rsid w:val="00CC72FF"/>
    <w:rsid w:val="00CC7C21"/>
    <w:rsid w:val="00CE0886"/>
    <w:rsid w:val="00CF2516"/>
    <w:rsid w:val="00CF6D63"/>
    <w:rsid w:val="00D12EBC"/>
    <w:rsid w:val="00D23B28"/>
    <w:rsid w:val="00D46C8D"/>
    <w:rsid w:val="00DA1359"/>
    <w:rsid w:val="00DB0817"/>
    <w:rsid w:val="00DE5444"/>
    <w:rsid w:val="00DF072F"/>
    <w:rsid w:val="00E06E48"/>
    <w:rsid w:val="00E155A9"/>
    <w:rsid w:val="00E32014"/>
    <w:rsid w:val="00E3727C"/>
    <w:rsid w:val="00EB58BA"/>
    <w:rsid w:val="00EB6F20"/>
    <w:rsid w:val="00EE6B93"/>
    <w:rsid w:val="00F04A6E"/>
    <w:rsid w:val="00F04DEF"/>
    <w:rsid w:val="00F31070"/>
    <w:rsid w:val="00F53F10"/>
    <w:rsid w:val="00F636F8"/>
    <w:rsid w:val="00F8591F"/>
    <w:rsid w:val="00FA2C8E"/>
    <w:rsid w:val="00FC1860"/>
    <w:rsid w:val="00FC7EA5"/>
    <w:rsid w:val="00FD1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5EB49"/>
  <w15:chartTrackingRefBased/>
  <w15:docId w15:val="{8D958F43-A15C-4150-B920-BE8741EFE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148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81309F-AB94-4C63-8650-B80168C5A3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887</TotalTime>
  <Pages>3</Pages>
  <Words>540</Words>
  <Characters>2974</Characters>
  <Application>Microsoft Office Word</Application>
  <DocSecurity>0</DocSecurity>
  <Lines>24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jean-luc attal</dc:creator>
  <cp:keywords/>
  <dc:description/>
  <cp:lastModifiedBy>jean-luc attal</cp:lastModifiedBy>
  <cp:revision>117</cp:revision>
  <dcterms:created xsi:type="dcterms:W3CDTF">2021-11-25T09:44:00Z</dcterms:created>
  <dcterms:modified xsi:type="dcterms:W3CDTF">2025-01-18T17:40:00Z</dcterms:modified>
</cp:coreProperties>
</file>