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94BF8A" w14:textId="5B8EFEFC" w:rsidR="00902D2F" w:rsidRPr="00263ED0" w:rsidRDefault="00263ED0" w:rsidP="00B41C02">
      <w:pPr>
        <w:jc w:val="both"/>
        <w:rPr>
          <w:rFonts w:ascii="Tahoma" w:hAnsi="Tahoma" w:cs="Tahoma"/>
          <w:sz w:val="48"/>
          <w:szCs w:val="48"/>
          <w:u w:val="single"/>
        </w:rPr>
      </w:pPr>
      <w:r>
        <w:rPr>
          <w:rFonts w:ascii="Tahoma" w:hAnsi="Tahoma" w:cs="Tahoma"/>
        </w:rPr>
        <w:t xml:space="preserve">                                      </w:t>
      </w:r>
      <w:r w:rsidRPr="00263ED0">
        <w:rPr>
          <w:rFonts w:ascii="Tahoma" w:hAnsi="Tahoma" w:cs="Tahoma"/>
          <w:sz w:val="48"/>
          <w:szCs w:val="48"/>
          <w:u w:val="single"/>
        </w:rPr>
        <w:t xml:space="preserve">EUROSTOXX 50 </w:t>
      </w:r>
    </w:p>
    <w:p w14:paraId="6A0F7EC2" w14:textId="101B9189" w:rsidR="00902D2F" w:rsidRPr="00041E45" w:rsidRDefault="00B13FCD" w:rsidP="00B41C02">
      <w:pPr>
        <w:jc w:val="both"/>
        <w:rPr>
          <w:rFonts w:ascii="Tahoma" w:hAnsi="Tahoma" w:cs="Tahoma"/>
          <w:sz w:val="32"/>
          <w:szCs w:val="32"/>
          <w:u w:val="single"/>
        </w:rPr>
      </w:pPr>
      <w:r>
        <w:rPr>
          <w:rFonts w:ascii="Tahoma" w:hAnsi="Tahoma" w:cs="Tahoma"/>
          <w:sz w:val="32"/>
          <w:szCs w:val="32"/>
          <w:u w:val="single"/>
        </w:rPr>
        <w:t>Month</w:t>
      </w:r>
    </w:p>
    <w:p w14:paraId="2862B446" w14:textId="7F17FB76" w:rsidR="00902D2F" w:rsidRDefault="00091B18" w:rsidP="00B41C02">
      <w:pPr>
        <w:jc w:val="both"/>
        <w:rPr>
          <w:rFonts w:ascii="Tahoma" w:hAnsi="Tahoma" w:cs="Tahoma"/>
        </w:rPr>
      </w:pPr>
      <w:r>
        <w:rPr>
          <w:noProof/>
        </w:rPr>
        <w:drawing>
          <wp:inline distT="0" distB="0" distL="0" distR="0" wp14:anchorId="5FF721BB" wp14:editId="3415C786">
            <wp:extent cx="5760720" cy="4320540"/>
            <wp:effectExtent l="0" t="0" r="0" b="3810"/>
            <wp:docPr id="527512225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320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85822D0" w14:textId="77777777" w:rsidR="006E32BB" w:rsidRDefault="006E32BB" w:rsidP="00B41C02">
      <w:pPr>
        <w:jc w:val="both"/>
        <w:rPr>
          <w:rFonts w:ascii="Tahoma" w:hAnsi="Tahoma" w:cs="Tahoma"/>
        </w:rPr>
      </w:pPr>
    </w:p>
    <w:p w14:paraId="555DA04C" w14:textId="561F1C9B" w:rsidR="001705F4" w:rsidRDefault="00BB6D9D" w:rsidP="00263ED0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 </w:t>
      </w:r>
      <w:r w:rsidR="006F3C7E">
        <w:rPr>
          <w:rFonts w:ascii="Tahoma" w:hAnsi="Tahoma" w:cs="Tahoma"/>
        </w:rPr>
        <w:t>Sur le long terme, le contexte est haussier depuis plusieurs années. Mais l’incapacité de dépasser la résistance de 5100</w:t>
      </w:r>
      <w:r w:rsidR="003373F7">
        <w:rPr>
          <w:rFonts w:ascii="Tahoma" w:hAnsi="Tahoma" w:cs="Tahoma"/>
        </w:rPr>
        <w:t>, avait positionné l’indice dans un environnement stable sans dynamique de mouvement.</w:t>
      </w:r>
    </w:p>
    <w:p w14:paraId="44FC82C7" w14:textId="0709D278" w:rsidR="00ED5B88" w:rsidRDefault="00ED5B88" w:rsidP="00263ED0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>Aujourd’hui la rupture de la résistance de 5100 a permis de relanc</w:t>
      </w:r>
      <w:r w:rsidR="008348C6">
        <w:rPr>
          <w:rFonts w:ascii="Tahoma" w:hAnsi="Tahoma" w:cs="Tahoma"/>
        </w:rPr>
        <w:t>er</w:t>
      </w:r>
      <w:r>
        <w:rPr>
          <w:rFonts w:ascii="Tahoma" w:hAnsi="Tahoma" w:cs="Tahoma"/>
        </w:rPr>
        <w:t xml:space="preserve"> </w:t>
      </w:r>
      <w:r w:rsidR="000C2E6B">
        <w:rPr>
          <w:rFonts w:ascii="Tahoma" w:hAnsi="Tahoma" w:cs="Tahoma"/>
        </w:rPr>
        <w:t>la</w:t>
      </w:r>
      <w:r w:rsidR="00FE4EF3">
        <w:rPr>
          <w:rFonts w:ascii="Tahoma" w:hAnsi="Tahoma" w:cs="Tahoma"/>
        </w:rPr>
        <w:br/>
      </w:r>
      <w:r>
        <w:rPr>
          <w:rFonts w:ascii="Tahoma" w:hAnsi="Tahoma" w:cs="Tahoma"/>
        </w:rPr>
        <w:t xml:space="preserve">dynamique de mouvement et de reprendre une logique </w:t>
      </w:r>
      <w:r w:rsidR="00B4700F">
        <w:rPr>
          <w:rFonts w:ascii="Tahoma" w:hAnsi="Tahoma" w:cs="Tahoma"/>
        </w:rPr>
        <w:t xml:space="preserve">haussière où </w:t>
      </w:r>
      <w:r w:rsidR="008348C6">
        <w:rPr>
          <w:rFonts w:ascii="Tahoma" w:hAnsi="Tahoma" w:cs="Tahoma"/>
        </w:rPr>
        <w:t>de nouveaux hauts peuvent être envisagés</w:t>
      </w:r>
      <w:r w:rsidR="002B2E05">
        <w:rPr>
          <w:rFonts w:ascii="Tahoma" w:hAnsi="Tahoma" w:cs="Tahoma"/>
        </w:rPr>
        <w:t xml:space="preserve"> en direction du </w:t>
      </w:r>
      <w:r w:rsidR="00FE4EF3">
        <w:rPr>
          <w:rFonts w:ascii="Tahoma" w:hAnsi="Tahoma" w:cs="Tahoma"/>
        </w:rPr>
        <w:t xml:space="preserve">sommet </w:t>
      </w:r>
      <w:r w:rsidR="002B2E05">
        <w:rPr>
          <w:rFonts w:ascii="Tahoma" w:hAnsi="Tahoma" w:cs="Tahoma"/>
        </w:rPr>
        <w:t>historique de mars 2000 sur 5522.</w:t>
      </w:r>
    </w:p>
    <w:p w14:paraId="5CABAB03" w14:textId="070CDB86" w:rsidR="008348C6" w:rsidRDefault="00F80115" w:rsidP="00263ED0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>Dans une logique d’inversion des polarités, la poursuite de la hausse sera mon scénario principal tant que 5100 servira de support</w:t>
      </w:r>
      <w:r w:rsidR="0071313E">
        <w:rPr>
          <w:rFonts w:ascii="Tahoma" w:hAnsi="Tahoma" w:cs="Tahoma"/>
        </w:rPr>
        <w:t xml:space="preserve"> lors d</w:t>
      </w:r>
      <w:r w:rsidR="006F62B4">
        <w:rPr>
          <w:rFonts w:ascii="Tahoma" w:hAnsi="Tahoma" w:cs="Tahoma"/>
        </w:rPr>
        <w:t>’éventuels</w:t>
      </w:r>
      <w:r w:rsidR="0071313E">
        <w:rPr>
          <w:rFonts w:ascii="Tahoma" w:hAnsi="Tahoma" w:cs="Tahoma"/>
        </w:rPr>
        <w:t xml:space="preserve"> corrections.</w:t>
      </w:r>
    </w:p>
    <w:p w14:paraId="745F37C5" w14:textId="5FF33334" w:rsidR="00926C9D" w:rsidRDefault="00726DAC" w:rsidP="00263ED0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Comme toujours, un marubozu </w:t>
      </w:r>
      <w:r w:rsidR="006F62B4">
        <w:rPr>
          <w:rFonts w:ascii="Tahoma" w:hAnsi="Tahoma" w:cs="Tahoma"/>
        </w:rPr>
        <w:t xml:space="preserve">blanc </w:t>
      </w:r>
      <w:r>
        <w:rPr>
          <w:rFonts w:ascii="Tahoma" w:hAnsi="Tahoma" w:cs="Tahoma"/>
        </w:rPr>
        <w:t>sur un sommet pose problème. L’arrivée d’acheteur</w:t>
      </w:r>
      <w:r w:rsidR="006F62B4">
        <w:rPr>
          <w:rFonts w:ascii="Tahoma" w:hAnsi="Tahoma" w:cs="Tahoma"/>
        </w:rPr>
        <w:t>s</w:t>
      </w:r>
      <w:r>
        <w:rPr>
          <w:rFonts w:ascii="Tahoma" w:hAnsi="Tahoma" w:cs="Tahoma"/>
        </w:rPr>
        <w:t xml:space="preserve"> en dépassement de</w:t>
      </w:r>
      <w:r w:rsidR="006F62B4">
        <w:rPr>
          <w:rFonts w:ascii="Tahoma" w:hAnsi="Tahoma" w:cs="Tahoma"/>
        </w:rPr>
        <w:t>s</w:t>
      </w:r>
      <w:r>
        <w:rPr>
          <w:rFonts w:ascii="Tahoma" w:hAnsi="Tahoma" w:cs="Tahoma"/>
        </w:rPr>
        <w:t xml:space="preserve"> 5100</w:t>
      </w:r>
      <w:r w:rsidR="006F62B4">
        <w:rPr>
          <w:rFonts w:ascii="Tahoma" w:hAnsi="Tahoma" w:cs="Tahoma"/>
        </w:rPr>
        <w:t xml:space="preserve"> points</w:t>
      </w:r>
      <w:r>
        <w:rPr>
          <w:rFonts w:ascii="Tahoma" w:hAnsi="Tahoma" w:cs="Tahoma"/>
        </w:rPr>
        <w:t xml:space="preserve"> dans un environnement haussier </w:t>
      </w:r>
      <w:r w:rsidR="006F62B4">
        <w:rPr>
          <w:rFonts w:ascii="Tahoma" w:hAnsi="Tahoma" w:cs="Tahoma"/>
        </w:rPr>
        <w:t>doi</w:t>
      </w:r>
      <w:r>
        <w:rPr>
          <w:rFonts w:ascii="Tahoma" w:hAnsi="Tahoma" w:cs="Tahoma"/>
        </w:rPr>
        <w:t xml:space="preserve">t </w:t>
      </w:r>
      <w:r w:rsidR="008B63F0">
        <w:rPr>
          <w:rFonts w:ascii="Tahoma" w:hAnsi="Tahoma" w:cs="Tahoma"/>
        </w:rPr>
        <w:t>assécher</w:t>
      </w:r>
      <w:r>
        <w:rPr>
          <w:rFonts w:ascii="Tahoma" w:hAnsi="Tahoma" w:cs="Tahoma"/>
        </w:rPr>
        <w:t xml:space="preserve"> une bonne partie du courant acheteur</w:t>
      </w:r>
      <w:r w:rsidR="00D55568">
        <w:rPr>
          <w:rFonts w:ascii="Tahoma" w:hAnsi="Tahoma" w:cs="Tahoma"/>
        </w:rPr>
        <w:t xml:space="preserve">. La notion d’inversion des polarités nous aidera à </w:t>
      </w:r>
      <w:r w:rsidR="006F62B4">
        <w:rPr>
          <w:rFonts w:ascii="Tahoma" w:hAnsi="Tahoma" w:cs="Tahoma"/>
        </w:rPr>
        <w:t>comprendre</w:t>
      </w:r>
      <w:r w:rsidR="0052228F">
        <w:rPr>
          <w:rFonts w:ascii="Tahoma" w:hAnsi="Tahoma" w:cs="Tahoma"/>
        </w:rPr>
        <w:t xml:space="preserve"> </w:t>
      </w:r>
      <w:r w:rsidR="006F62B4">
        <w:rPr>
          <w:rFonts w:ascii="Tahoma" w:hAnsi="Tahoma" w:cs="Tahoma"/>
        </w:rPr>
        <w:t>c</w:t>
      </w:r>
      <w:r w:rsidR="0052228F">
        <w:rPr>
          <w:rFonts w:ascii="Tahoma" w:hAnsi="Tahoma" w:cs="Tahoma"/>
        </w:rPr>
        <w:t xml:space="preserve">es </w:t>
      </w:r>
      <w:r w:rsidR="008B63F0">
        <w:rPr>
          <w:rFonts w:ascii="Tahoma" w:hAnsi="Tahoma" w:cs="Tahoma"/>
        </w:rPr>
        <w:t>corrections</w:t>
      </w:r>
      <w:r w:rsidR="006F62B4">
        <w:rPr>
          <w:rFonts w:ascii="Tahoma" w:hAnsi="Tahoma" w:cs="Tahoma"/>
        </w:rPr>
        <w:t>.</w:t>
      </w:r>
    </w:p>
    <w:p w14:paraId="74C749FD" w14:textId="5CC599A7" w:rsidR="00926C9D" w:rsidRDefault="00926C9D" w:rsidP="00263ED0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La divergence de l’indicateur technique en zone de surachat </w:t>
      </w:r>
      <w:r w:rsidR="00866E32">
        <w:rPr>
          <w:rFonts w:ascii="Tahoma" w:hAnsi="Tahoma" w:cs="Tahoma"/>
        </w:rPr>
        <w:t>milite pour une correction de l’indice.</w:t>
      </w:r>
    </w:p>
    <w:p w14:paraId="65B16AE1" w14:textId="19E7F3B8" w:rsidR="00583BC8" w:rsidRDefault="00583BC8" w:rsidP="00B41C02">
      <w:pPr>
        <w:jc w:val="both"/>
        <w:rPr>
          <w:rFonts w:ascii="Tahoma" w:hAnsi="Tahoma" w:cs="Tahoma"/>
        </w:rPr>
      </w:pPr>
    </w:p>
    <w:p w14:paraId="0714439A" w14:textId="77777777" w:rsidR="00B13FCD" w:rsidRPr="00041E45" w:rsidRDefault="00B13FCD" w:rsidP="00B13FCD">
      <w:pPr>
        <w:jc w:val="both"/>
        <w:rPr>
          <w:rFonts w:ascii="Tahoma" w:hAnsi="Tahoma" w:cs="Tahoma"/>
          <w:sz w:val="32"/>
          <w:szCs w:val="32"/>
          <w:u w:val="single"/>
        </w:rPr>
      </w:pPr>
      <w:r w:rsidRPr="00041E45">
        <w:rPr>
          <w:rFonts w:ascii="Tahoma" w:hAnsi="Tahoma" w:cs="Tahoma"/>
          <w:sz w:val="32"/>
          <w:szCs w:val="32"/>
          <w:u w:val="single"/>
        </w:rPr>
        <w:lastRenderedPageBreak/>
        <w:t>Week</w:t>
      </w:r>
    </w:p>
    <w:p w14:paraId="2F720CAA" w14:textId="609D6B8D" w:rsidR="00B13FCD" w:rsidRDefault="00091B18" w:rsidP="00B13FCD">
      <w:pPr>
        <w:jc w:val="both"/>
        <w:rPr>
          <w:rFonts w:ascii="Tahoma" w:hAnsi="Tahoma" w:cs="Tahoma"/>
        </w:rPr>
      </w:pPr>
      <w:r>
        <w:rPr>
          <w:noProof/>
        </w:rPr>
        <w:drawing>
          <wp:inline distT="0" distB="0" distL="0" distR="0" wp14:anchorId="2961CDA7" wp14:editId="407AFEBE">
            <wp:extent cx="5760720" cy="4320540"/>
            <wp:effectExtent l="0" t="0" r="0" b="3810"/>
            <wp:docPr id="968780104" name="Imag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320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55CA58E" w14:textId="77777777" w:rsidR="00B13FCD" w:rsidRDefault="00B13FCD" w:rsidP="00B13FCD">
      <w:pPr>
        <w:jc w:val="both"/>
        <w:rPr>
          <w:rFonts w:ascii="Tahoma" w:hAnsi="Tahoma" w:cs="Tahoma"/>
        </w:rPr>
      </w:pPr>
    </w:p>
    <w:p w14:paraId="0E482396" w14:textId="1B1B516E" w:rsidR="00B13FCD" w:rsidRDefault="002E74E6" w:rsidP="00B13FCD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>Les données de moyen terme n’apporte</w:t>
      </w:r>
      <w:r w:rsidR="00527466">
        <w:rPr>
          <w:rFonts w:ascii="Tahoma" w:hAnsi="Tahoma" w:cs="Tahoma"/>
        </w:rPr>
        <w:t>nt</w:t>
      </w:r>
      <w:r>
        <w:rPr>
          <w:rFonts w:ascii="Tahoma" w:hAnsi="Tahoma" w:cs="Tahoma"/>
        </w:rPr>
        <w:t xml:space="preserve"> pas plus d’information</w:t>
      </w:r>
      <w:r w:rsidR="00847D10">
        <w:rPr>
          <w:rFonts w:ascii="Tahoma" w:hAnsi="Tahoma" w:cs="Tahoma"/>
        </w:rPr>
        <w:t>s</w:t>
      </w:r>
      <w:r>
        <w:rPr>
          <w:rFonts w:ascii="Tahoma" w:hAnsi="Tahoma" w:cs="Tahoma"/>
        </w:rPr>
        <w:t>. Le dépassement de 5100 a été suivi d’un nouveau haut puis d’une correction sur 5131.</w:t>
      </w:r>
    </w:p>
    <w:p w14:paraId="5FA47197" w14:textId="1C41EEF2" w:rsidR="00816D5A" w:rsidRDefault="00816D5A" w:rsidP="00B13FCD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Les prix se sont éloignés de La TS </w:t>
      </w:r>
      <w:r w:rsidR="00847D10">
        <w:rPr>
          <w:rFonts w:ascii="Tahoma" w:hAnsi="Tahoma" w:cs="Tahoma"/>
        </w:rPr>
        <w:t>ce qui</w:t>
      </w:r>
      <w:r>
        <w:rPr>
          <w:rFonts w:ascii="Tahoma" w:hAnsi="Tahoma" w:cs="Tahoma"/>
        </w:rPr>
        <w:t xml:space="preserve"> place l’indice dans un environnement suracheté. Cette </w:t>
      </w:r>
      <w:r w:rsidR="008B63F0">
        <w:rPr>
          <w:rFonts w:ascii="Tahoma" w:hAnsi="Tahoma" w:cs="Tahoma"/>
        </w:rPr>
        <w:t>observation</w:t>
      </w:r>
      <w:r>
        <w:rPr>
          <w:rFonts w:ascii="Tahoma" w:hAnsi="Tahoma" w:cs="Tahoma"/>
        </w:rPr>
        <w:t xml:space="preserve"> est </w:t>
      </w:r>
      <w:r w:rsidR="00847D10">
        <w:rPr>
          <w:rFonts w:ascii="Tahoma" w:hAnsi="Tahoma" w:cs="Tahoma"/>
        </w:rPr>
        <w:t>renforcée</w:t>
      </w:r>
      <w:r>
        <w:rPr>
          <w:rFonts w:ascii="Tahoma" w:hAnsi="Tahoma" w:cs="Tahoma"/>
        </w:rPr>
        <w:t xml:space="preserve"> par l’indicateur technique qui évolue en zone de surachat.</w:t>
      </w:r>
    </w:p>
    <w:p w14:paraId="70037284" w14:textId="4405CA2A" w:rsidR="00527466" w:rsidRDefault="00527466" w:rsidP="00B13FCD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Ainsi </w:t>
      </w:r>
      <w:r w:rsidR="000C55CF">
        <w:rPr>
          <w:rFonts w:ascii="Tahoma" w:hAnsi="Tahoma" w:cs="Tahoma"/>
        </w:rPr>
        <w:t>dans un</w:t>
      </w:r>
      <w:r>
        <w:rPr>
          <w:rFonts w:ascii="Tahoma" w:hAnsi="Tahoma" w:cs="Tahoma"/>
        </w:rPr>
        <w:t xml:space="preserve"> contexte de surachat</w:t>
      </w:r>
      <w:r w:rsidR="00FE4EF3">
        <w:rPr>
          <w:rFonts w:ascii="Tahoma" w:hAnsi="Tahoma" w:cs="Tahoma"/>
        </w:rPr>
        <w:t xml:space="preserve"> qui </w:t>
      </w:r>
      <w:proofErr w:type="spellStart"/>
      <w:r w:rsidR="00FE4EF3">
        <w:rPr>
          <w:rFonts w:ascii="Tahoma" w:hAnsi="Tahoma" w:cs="Tahoma"/>
        </w:rPr>
        <w:t>genere</w:t>
      </w:r>
      <w:proofErr w:type="spellEnd"/>
      <w:r w:rsidR="00FE4EF3">
        <w:rPr>
          <w:rFonts w:ascii="Tahoma" w:hAnsi="Tahoma" w:cs="Tahoma"/>
        </w:rPr>
        <w:t xml:space="preserve"> un</w:t>
      </w:r>
      <w:r>
        <w:rPr>
          <w:rFonts w:ascii="Tahoma" w:hAnsi="Tahoma" w:cs="Tahoma"/>
        </w:rPr>
        <w:t xml:space="preserve"> risque de correction, deux comportements</w:t>
      </w:r>
      <w:r w:rsidR="008503D1">
        <w:rPr>
          <w:rFonts w:ascii="Tahoma" w:hAnsi="Tahoma" w:cs="Tahoma"/>
        </w:rPr>
        <w:t xml:space="preserve"> doivent être envisagés</w:t>
      </w:r>
      <w:r>
        <w:rPr>
          <w:rFonts w:ascii="Tahoma" w:hAnsi="Tahoma" w:cs="Tahoma"/>
        </w:rPr>
        <w:t xml:space="preserve">. </w:t>
      </w:r>
      <w:r w:rsidR="0001700F">
        <w:rPr>
          <w:rFonts w:ascii="Tahoma" w:hAnsi="Tahoma" w:cs="Tahoma"/>
        </w:rPr>
        <w:t xml:space="preserve">D’une part, ne pas acheter un marché </w:t>
      </w:r>
      <w:r w:rsidR="008B63F0">
        <w:rPr>
          <w:rFonts w:ascii="Tahoma" w:hAnsi="Tahoma" w:cs="Tahoma"/>
        </w:rPr>
        <w:t>suracheté</w:t>
      </w:r>
      <w:r w:rsidR="008503D1">
        <w:rPr>
          <w:rFonts w:ascii="Tahoma" w:hAnsi="Tahoma" w:cs="Tahoma"/>
        </w:rPr>
        <w:t xml:space="preserve"> </w:t>
      </w:r>
      <w:r w:rsidR="006C39F9">
        <w:rPr>
          <w:rFonts w:ascii="Tahoma" w:hAnsi="Tahoma" w:cs="Tahoma"/>
        </w:rPr>
        <w:t>mais attendre</w:t>
      </w:r>
      <w:r w:rsidR="008503D1">
        <w:rPr>
          <w:rFonts w:ascii="Tahoma" w:hAnsi="Tahoma" w:cs="Tahoma"/>
        </w:rPr>
        <w:t xml:space="preserve"> un niveau de cours plus adéquat</w:t>
      </w:r>
      <w:r w:rsidR="006C39F9">
        <w:rPr>
          <w:rFonts w:ascii="Tahoma" w:hAnsi="Tahoma" w:cs="Tahoma"/>
        </w:rPr>
        <w:t>s</w:t>
      </w:r>
      <w:r w:rsidR="0001700F">
        <w:rPr>
          <w:rFonts w:ascii="Tahoma" w:hAnsi="Tahoma" w:cs="Tahoma"/>
        </w:rPr>
        <w:t xml:space="preserve">, d’autre part réaliser ses gains </w:t>
      </w:r>
      <w:r w:rsidR="008503D1">
        <w:rPr>
          <w:rFonts w:ascii="Tahoma" w:hAnsi="Tahoma" w:cs="Tahoma"/>
        </w:rPr>
        <w:t xml:space="preserve">pour les anciens acheteurs </w:t>
      </w:r>
      <w:r w:rsidR="0001700F">
        <w:rPr>
          <w:rFonts w:ascii="Tahoma" w:hAnsi="Tahoma" w:cs="Tahoma"/>
        </w:rPr>
        <w:t>avant une éventuelle baisse des prix.</w:t>
      </w:r>
    </w:p>
    <w:p w14:paraId="7AC4D2D2" w14:textId="6BD8CD94" w:rsidR="00DF072F" w:rsidRDefault="00DF072F" w:rsidP="00B41C02">
      <w:pPr>
        <w:jc w:val="both"/>
        <w:rPr>
          <w:rFonts w:ascii="Tahoma" w:hAnsi="Tahoma" w:cs="Tahoma"/>
        </w:rPr>
      </w:pPr>
    </w:p>
    <w:p w14:paraId="374D1F17" w14:textId="24AE7426" w:rsidR="00583BC8" w:rsidRDefault="00583BC8" w:rsidP="00B41C02">
      <w:pPr>
        <w:jc w:val="both"/>
        <w:rPr>
          <w:rFonts w:ascii="Tahoma" w:hAnsi="Tahoma" w:cs="Tahoma"/>
        </w:rPr>
      </w:pPr>
    </w:p>
    <w:p w14:paraId="53AA9186" w14:textId="5A12989E" w:rsidR="00583BC8" w:rsidRPr="00041E45" w:rsidRDefault="00583BC8" w:rsidP="00B41C02">
      <w:pPr>
        <w:jc w:val="both"/>
        <w:rPr>
          <w:rFonts w:ascii="Tahoma" w:hAnsi="Tahoma" w:cs="Tahoma"/>
          <w:sz w:val="32"/>
          <w:szCs w:val="32"/>
          <w:u w:val="single"/>
        </w:rPr>
      </w:pPr>
      <w:r w:rsidRPr="00041E45">
        <w:rPr>
          <w:rFonts w:ascii="Tahoma" w:hAnsi="Tahoma" w:cs="Tahoma"/>
          <w:sz w:val="32"/>
          <w:szCs w:val="32"/>
          <w:u w:val="single"/>
        </w:rPr>
        <w:t>DAY</w:t>
      </w:r>
    </w:p>
    <w:p w14:paraId="1675B8DF" w14:textId="614CC7EA" w:rsidR="00583BC8" w:rsidRDefault="00091B18" w:rsidP="00B41C02">
      <w:pPr>
        <w:jc w:val="both"/>
        <w:rPr>
          <w:rFonts w:ascii="Tahoma" w:hAnsi="Tahoma" w:cs="Tahoma"/>
        </w:rPr>
      </w:pPr>
      <w:r>
        <w:rPr>
          <w:noProof/>
        </w:rPr>
        <w:lastRenderedPageBreak/>
        <w:drawing>
          <wp:inline distT="0" distB="0" distL="0" distR="0" wp14:anchorId="46911156" wp14:editId="57F31A8D">
            <wp:extent cx="5760720" cy="4320540"/>
            <wp:effectExtent l="0" t="0" r="0" b="3810"/>
            <wp:docPr id="481067549" name="Imag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320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8999410" w14:textId="26B73DB0" w:rsidR="00583BC8" w:rsidRDefault="00583BC8" w:rsidP="00B41C02">
      <w:pPr>
        <w:jc w:val="both"/>
        <w:rPr>
          <w:rFonts w:ascii="Tahoma" w:hAnsi="Tahoma" w:cs="Tahoma"/>
        </w:rPr>
      </w:pPr>
    </w:p>
    <w:p w14:paraId="710BA38C" w14:textId="5FAD4D82" w:rsidR="00163C46" w:rsidRDefault="008503D1" w:rsidP="00263ED0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Même configuration graphique sur le court terme </w:t>
      </w:r>
      <w:r w:rsidR="006C39F9">
        <w:rPr>
          <w:rFonts w:ascii="Tahoma" w:hAnsi="Tahoma" w:cs="Tahoma"/>
        </w:rPr>
        <w:t>que sur les échéances plus longues, avec</w:t>
      </w:r>
      <w:r>
        <w:rPr>
          <w:rFonts w:ascii="Tahoma" w:hAnsi="Tahoma" w:cs="Tahoma"/>
        </w:rPr>
        <w:t xml:space="preserve"> un marché suracheté en dépassement de l’ancienne résistance de 5100 qui est </w:t>
      </w:r>
      <w:r w:rsidR="006C39F9">
        <w:rPr>
          <w:rFonts w:ascii="Tahoma" w:hAnsi="Tahoma" w:cs="Tahoma"/>
        </w:rPr>
        <w:t>maintenant</w:t>
      </w:r>
      <w:r>
        <w:rPr>
          <w:rFonts w:ascii="Tahoma" w:hAnsi="Tahoma" w:cs="Tahoma"/>
        </w:rPr>
        <w:t xml:space="preserve"> support.</w:t>
      </w:r>
    </w:p>
    <w:p w14:paraId="22A10F17" w14:textId="677C5862" w:rsidR="00956D3C" w:rsidRDefault="00956D3C" w:rsidP="00263ED0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Ici aussi </w:t>
      </w:r>
      <w:r w:rsidR="006C39F9">
        <w:rPr>
          <w:rFonts w:ascii="Tahoma" w:hAnsi="Tahoma" w:cs="Tahoma"/>
        </w:rPr>
        <w:t>les prix sont</w:t>
      </w:r>
      <w:r>
        <w:rPr>
          <w:rFonts w:ascii="Tahoma" w:hAnsi="Tahoma" w:cs="Tahoma"/>
        </w:rPr>
        <w:t xml:space="preserve"> un peu trop éloigné</w:t>
      </w:r>
      <w:r w:rsidR="006C39F9">
        <w:rPr>
          <w:rFonts w:ascii="Tahoma" w:hAnsi="Tahoma" w:cs="Tahoma"/>
        </w:rPr>
        <w:t>s</w:t>
      </w:r>
      <w:r>
        <w:rPr>
          <w:rFonts w:ascii="Tahoma" w:hAnsi="Tahoma" w:cs="Tahoma"/>
        </w:rPr>
        <w:t xml:space="preserve"> de </w:t>
      </w:r>
      <w:r w:rsidR="006C39F9">
        <w:rPr>
          <w:rFonts w:ascii="Tahoma" w:hAnsi="Tahoma" w:cs="Tahoma"/>
        </w:rPr>
        <w:t>l</w:t>
      </w:r>
      <w:r>
        <w:rPr>
          <w:rFonts w:ascii="Tahoma" w:hAnsi="Tahoma" w:cs="Tahoma"/>
        </w:rPr>
        <w:t>a TS mais c’est plutôt la dernière chandelle en forme d’étoile filante</w:t>
      </w:r>
      <w:r w:rsidR="006C39F9">
        <w:rPr>
          <w:rFonts w:ascii="Tahoma" w:hAnsi="Tahoma" w:cs="Tahoma"/>
        </w:rPr>
        <w:t>, alerte baissière,</w:t>
      </w:r>
      <w:r>
        <w:rPr>
          <w:rFonts w:ascii="Tahoma" w:hAnsi="Tahoma" w:cs="Tahoma"/>
        </w:rPr>
        <w:t xml:space="preserve"> qui pourrait </w:t>
      </w:r>
      <w:r w:rsidR="006C39F9">
        <w:rPr>
          <w:rFonts w:ascii="Tahoma" w:hAnsi="Tahoma" w:cs="Tahoma"/>
        </w:rPr>
        <w:t>amener</w:t>
      </w:r>
      <w:r w:rsidR="00B47493">
        <w:rPr>
          <w:rFonts w:ascii="Tahoma" w:hAnsi="Tahoma" w:cs="Tahoma"/>
        </w:rPr>
        <w:t xml:space="preserve"> une correction des prix.</w:t>
      </w:r>
    </w:p>
    <w:p w14:paraId="3ECD1475" w14:textId="4AB5C3AB" w:rsidR="00B47493" w:rsidRDefault="00B47493" w:rsidP="00263ED0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>J’évoquais lors de la précédente analyse la succession de gap (deux entre le 15 et le 17 janvier). Le gap d’</w:t>
      </w:r>
      <w:r w:rsidR="008B63F0">
        <w:rPr>
          <w:rFonts w:ascii="Tahoma" w:hAnsi="Tahoma" w:cs="Tahoma"/>
        </w:rPr>
        <w:t>épuisement</w:t>
      </w:r>
      <w:r>
        <w:rPr>
          <w:rFonts w:ascii="Tahoma" w:hAnsi="Tahoma" w:cs="Tahoma"/>
        </w:rPr>
        <w:t xml:space="preserve"> (le troisième) peut reprendre la hausse entre la </w:t>
      </w:r>
      <w:r w:rsidR="008B63F0">
        <w:rPr>
          <w:rFonts w:ascii="Tahoma" w:hAnsi="Tahoma" w:cs="Tahoma"/>
        </w:rPr>
        <w:t>clôture</w:t>
      </w:r>
      <w:r>
        <w:rPr>
          <w:rFonts w:ascii="Tahoma" w:hAnsi="Tahoma" w:cs="Tahoma"/>
        </w:rPr>
        <w:t xml:space="preserve"> du 29 janvier et l’ouverture du 30</w:t>
      </w:r>
      <w:r w:rsidR="001A56BC">
        <w:rPr>
          <w:rFonts w:ascii="Tahoma" w:hAnsi="Tahoma" w:cs="Tahoma"/>
        </w:rPr>
        <w:t>. Il devrait</w:t>
      </w:r>
      <w:r w:rsidR="006C5B1E">
        <w:rPr>
          <w:rFonts w:ascii="Tahoma" w:hAnsi="Tahoma" w:cs="Tahoma"/>
        </w:rPr>
        <w:t xml:space="preserve"> </w:t>
      </w:r>
      <w:r w:rsidR="006C1A38">
        <w:rPr>
          <w:rFonts w:ascii="Tahoma" w:hAnsi="Tahoma" w:cs="Tahoma"/>
        </w:rPr>
        <w:t xml:space="preserve">alors </w:t>
      </w:r>
      <w:r w:rsidR="006C5B1E">
        <w:rPr>
          <w:rFonts w:ascii="Tahoma" w:hAnsi="Tahoma" w:cs="Tahoma"/>
        </w:rPr>
        <w:t xml:space="preserve">aboutir sur une </w:t>
      </w:r>
      <w:r w:rsidR="001A56BC">
        <w:rPr>
          <w:rFonts w:ascii="Tahoma" w:hAnsi="Tahoma" w:cs="Tahoma"/>
        </w:rPr>
        <w:t>corre</w:t>
      </w:r>
      <w:r w:rsidR="00F778F5">
        <w:rPr>
          <w:rFonts w:ascii="Tahoma" w:hAnsi="Tahoma" w:cs="Tahoma"/>
        </w:rPr>
        <w:t>c</w:t>
      </w:r>
      <w:r w:rsidR="001A56BC">
        <w:rPr>
          <w:rFonts w:ascii="Tahoma" w:hAnsi="Tahoma" w:cs="Tahoma"/>
        </w:rPr>
        <w:t>tion</w:t>
      </w:r>
      <w:r w:rsidR="006C5B1E">
        <w:rPr>
          <w:rFonts w:ascii="Tahoma" w:hAnsi="Tahoma" w:cs="Tahoma"/>
        </w:rPr>
        <w:t xml:space="preserve"> des prix.</w:t>
      </w:r>
    </w:p>
    <w:p w14:paraId="39B9F080" w14:textId="039591A2" w:rsidR="00B47493" w:rsidRDefault="001A56BC" w:rsidP="00263ED0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>T</w:t>
      </w:r>
      <w:r w:rsidR="00B47493">
        <w:rPr>
          <w:rFonts w:ascii="Tahoma" w:hAnsi="Tahoma" w:cs="Tahoma"/>
        </w:rPr>
        <w:t xml:space="preserve">ous ces </w:t>
      </w:r>
      <w:r w:rsidR="008B63F0">
        <w:rPr>
          <w:rFonts w:ascii="Tahoma" w:hAnsi="Tahoma" w:cs="Tahoma"/>
        </w:rPr>
        <w:t>éléments</w:t>
      </w:r>
      <w:r w:rsidR="00B47493">
        <w:rPr>
          <w:rFonts w:ascii="Tahoma" w:hAnsi="Tahoma" w:cs="Tahoma"/>
        </w:rPr>
        <w:t xml:space="preserve">, nous </w:t>
      </w:r>
      <w:r>
        <w:rPr>
          <w:rFonts w:ascii="Tahoma" w:hAnsi="Tahoma" w:cs="Tahoma"/>
        </w:rPr>
        <w:t xml:space="preserve">indiquent que nous </w:t>
      </w:r>
      <w:r w:rsidR="00B47493">
        <w:rPr>
          <w:rFonts w:ascii="Tahoma" w:hAnsi="Tahoma" w:cs="Tahoma"/>
        </w:rPr>
        <w:t>s</w:t>
      </w:r>
      <w:r>
        <w:rPr>
          <w:rFonts w:ascii="Tahoma" w:hAnsi="Tahoma" w:cs="Tahoma"/>
        </w:rPr>
        <w:t>ommes</w:t>
      </w:r>
      <w:r w:rsidR="00B47493">
        <w:rPr>
          <w:rFonts w:ascii="Tahoma" w:hAnsi="Tahoma" w:cs="Tahoma"/>
        </w:rPr>
        <w:t xml:space="preserve"> dans un contexte d’affaiblissement de la dynamique haussière, favorable à une correction des prix.</w:t>
      </w:r>
    </w:p>
    <w:p w14:paraId="67B8B186" w14:textId="0FFE0447" w:rsidR="00467005" w:rsidRDefault="00B47493" w:rsidP="00041E45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Une baisse la semaine prochaine </w:t>
      </w:r>
      <w:r w:rsidR="008B63F0">
        <w:rPr>
          <w:rFonts w:ascii="Tahoma" w:hAnsi="Tahoma" w:cs="Tahoma"/>
        </w:rPr>
        <w:t>amènera</w:t>
      </w:r>
      <w:r>
        <w:rPr>
          <w:rFonts w:ascii="Tahoma" w:hAnsi="Tahoma" w:cs="Tahoma"/>
        </w:rPr>
        <w:t xml:space="preserve"> un retournent</w:t>
      </w:r>
      <w:r w:rsidR="006C1A38">
        <w:rPr>
          <w:rFonts w:ascii="Tahoma" w:hAnsi="Tahoma" w:cs="Tahoma"/>
        </w:rPr>
        <w:t xml:space="preserve"> à la baisse de</w:t>
      </w:r>
      <w:r>
        <w:rPr>
          <w:rFonts w:ascii="Tahoma" w:hAnsi="Tahoma" w:cs="Tahoma"/>
        </w:rPr>
        <w:t xml:space="preserve"> l’indicateur technique qui évolue en zone de surachat</w:t>
      </w:r>
      <w:r w:rsidR="00861086">
        <w:rPr>
          <w:rFonts w:ascii="Tahoma" w:hAnsi="Tahoma" w:cs="Tahoma"/>
        </w:rPr>
        <w:t xml:space="preserve">. </w:t>
      </w:r>
      <w:r w:rsidR="001A56BC">
        <w:rPr>
          <w:rFonts w:ascii="Tahoma" w:hAnsi="Tahoma" w:cs="Tahoma"/>
        </w:rPr>
        <w:t xml:space="preserve">Cette action confirmera l’alerte sous la forme d’une étoile filante. </w:t>
      </w:r>
      <w:r w:rsidR="00F778F5">
        <w:rPr>
          <w:rFonts w:ascii="Tahoma" w:hAnsi="Tahoma" w:cs="Tahoma"/>
        </w:rPr>
        <w:t>L</w:t>
      </w:r>
      <w:r w:rsidR="00861086">
        <w:rPr>
          <w:rFonts w:ascii="Tahoma" w:hAnsi="Tahoma" w:cs="Tahoma"/>
        </w:rPr>
        <w:t>a baisse</w:t>
      </w:r>
      <w:r w:rsidR="006905BE">
        <w:rPr>
          <w:rFonts w:ascii="Tahoma" w:hAnsi="Tahoma" w:cs="Tahoma"/>
        </w:rPr>
        <w:t xml:space="preserve"> </w:t>
      </w:r>
      <w:r w:rsidR="00F778F5">
        <w:rPr>
          <w:rFonts w:ascii="Tahoma" w:hAnsi="Tahoma" w:cs="Tahoma"/>
        </w:rPr>
        <w:t>envisagée aura pour</w:t>
      </w:r>
      <w:r w:rsidR="006905BE">
        <w:rPr>
          <w:rFonts w:ascii="Tahoma" w:hAnsi="Tahoma" w:cs="Tahoma"/>
        </w:rPr>
        <w:t xml:space="preserve"> </w:t>
      </w:r>
      <w:r w:rsidR="008B63F0">
        <w:rPr>
          <w:rFonts w:ascii="Tahoma" w:hAnsi="Tahoma" w:cs="Tahoma"/>
        </w:rPr>
        <w:t>objectif</w:t>
      </w:r>
      <w:r w:rsidR="006905BE">
        <w:rPr>
          <w:rFonts w:ascii="Tahoma" w:hAnsi="Tahoma" w:cs="Tahoma"/>
        </w:rPr>
        <w:t xml:space="preserve"> le support de 5100.</w:t>
      </w:r>
    </w:p>
    <w:p w14:paraId="10BB9766" w14:textId="77777777" w:rsidR="00723F77" w:rsidRDefault="00723F77" w:rsidP="00041E45">
      <w:pPr>
        <w:jc w:val="both"/>
        <w:rPr>
          <w:rFonts w:ascii="Tahoma" w:hAnsi="Tahoma" w:cs="Tahoma"/>
        </w:rPr>
      </w:pPr>
    </w:p>
    <w:p w14:paraId="7F7BC9BB" w14:textId="0AE07494" w:rsidR="006C1A38" w:rsidRDefault="00835AC6" w:rsidP="00041E45">
      <w:pPr>
        <w:jc w:val="both"/>
        <w:rPr>
          <w:rFonts w:ascii="Tahoma" w:hAnsi="Tahoma" w:cs="Tahoma"/>
        </w:rPr>
      </w:pPr>
      <w:r w:rsidRPr="00835AC6">
        <w:rPr>
          <w:rFonts w:ascii="Tahoma" w:hAnsi="Tahoma" w:cs="Tahoma"/>
          <w:u w:val="single"/>
        </w:rPr>
        <w:t>CONCLUSION</w:t>
      </w:r>
      <w:r>
        <w:rPr>
          <w:rFonts w:ascii="Tahoma" w:hAnsi="Tahoma" w:cs="Tahoma"/>
        </w:rPr>
        <w:t> :</w:t>
      </w:r>
      <w:r w:rsidR="003466D3">
        <w:rPr>
          <w:rFonts w:ascii="Tahoma" w:hAnsi="Tahoma" w:cs="Tahoma"/>
        </w:rPr>
        <w:t xml:space="preserve"> Correction envisagée. Mais contexte </w:t>
      </w:r>
      <w:r w:rsidR="00074CB0">
        <w:rPr>
          <w:rFonts w:ascii="Tahoma" w:hAnsi="Tahoma" w:cs="Tahoma"/>
        </w:rPr>
        <w:t xml:space="preserve">favorable à une </w:t>
      </w:r>
      <w:r w:rsidR="003466D3">
        <w:rPr>
          <w:rFonts w:ascii="Tahoma" w:hAnsi="Tahoma" w:cs="Tahoma"/>
        </w:rPr>
        <w:t xml:space="preserve">poursuite de la hausse tant que l’indice se maintiendra </w:t>
      </w:r>
      <w:r w:rsidR="008B63F0">
        <w:rPr>
          <w:rFonts w:ascii="Tahoma" w:hAnsi="Tahoma" w:cs="Tahoma"/>
        </w:rPr>
        <w:t>au-dessus</w:t>
      </w:r>
      <w:r w:rsidR="003466D3">
        <w:rPr>
          <w:rFonts w:ascii="Tahoma" w:hAnsi="Tahoma" w:cs="Tahoma"/>
        </w:rPr>
        <w:t xml:space="preserve"> de 5100.</w:t>
      </w:r>
    </w:p>
    <w:p w14:paraId="7ECBFD62" w14:textId="381E9F64" w:rsidR="00723F77" w:rsidRDefault="00723F77" w:rsidP="00041E45">
      <w:pPr>
        <w:jc w:val="both"/>
        <w:rPr>
          <w:rFonts w:ascii="Tahoma" w:hAnsi="Tahoma" w:cs="Tahoma"/>
        </w:rPr>
      </w:pPr>
    </w:p>
    <w:p w14:paraId="09D59234" w14:textId="23BBE9A1" w:rsidR="003C2E49" w:rsidRDefault="003C2E49" w:rsidP="00041E45">
      <w:pPr>
        <w:jc w:val="both"/>
        <w:rPr>
          <w:rFonts w:ascii="Tahoma" w:hAnsi="Tahoma" w:cs="Tahoma"/>
          <w:b/>
          <w:bCs/>
          <w:sz w:val="28"/>
          <w:szCs w:val="28"/>
          <w:u w:val="single"/>
        </w:rPr>
      </w:pPr>
      <w:r>
        <w:rPr>
          <w:rFonts w:ascii="Tahoma" w:hAnsi="Tahoma" w:cs="Tahoma"/>
        </w:rPr>
        <w:t xml:space="preserve">                                                                            </w:t>
      </w:r>
      <w:r w:rsidRPr="00EE6B93">
        <w:rPr>
          <w:rFonts w:ascii="Tahoma" w:hAnsi="Tahoma" w:cs="Tahoma"/>
          <w:b/>
          <w:bCs/>
          <w:sz w:val="28"/>
          <w:szCs w:val="28"/>
          <w:u w:val="single"/>
        </w:rPr>
        <w:t>ATTAL JEAN-LUC</w:t>
      </w:r>
    </w:p>
    <w:p w14:paraId="7AFE83C0" w14:textId="11115AC8" w:rsidR="003C2E49" w:rsidRDefault="003C2E49" w:rsidP="00041E45">
      <w:pPr>
        <w:jc w:val="both"/>
        <w:rPr>
          <w:rFonts w:ascii="Tahoma" w:hAnsi="Tahoma" w:cs="Tahoma"/>
          <w:b/>
          <w:bCs/>
          <w:sz w:val="28"/>
          <w:szCs w:val="28"/>
          <w:u w:val="single"/>
        </w:rPr>
      </w:pPr>
    </w:p>
    <w:p w14:paraId="61D47236" w14:textId="2E2E6D5E" w:rsidR="003C2E49" w:rsidRDefault="003C2E49" w:rsidP="00041E45">
      <w:pPr>
        <w:jc w:val="both"/>
        <w:rPr>
          <w:rFonts w:ascii="Tahoma" w:hAnsi="Tahoma" w:cs="Tahoma"/>
          <w:b/>
          <w:bCs/>
          <w:sz w:val="28"/>
          <w:szCs w:val="28"/>
          <w:u w:val="single"/>
        </w:rPr>
      </w:pPr>
    </w:p>
    <w:p w14:paraId="46266A44" w14:textId="4AC7989B" w:rsidR="003C2E49" w:rsidRDefault="003C2E49" w:rsidP="00041E45">
      <w:pPr>
        <w:jc w:val="both"/>
        <w:rPr>
          <w:rFonts w:ascii="Tahoma" w:hAnsi="Tahoma" w:cs="Tahoma"/>
          <w:b/>
          <w:bCs/>
          <w:sz w:val="28"/>
          <w:szCs w:val="28"/>
          <w:u w:val="single"/>
        </w:rPr>
      </w:pPr>
    </w:p>
    <w:p w14:paraId="66364D58" w14:textId="77777777" w:rsidR="003C2E49" w:rsidRDefault="003C2E49" w:rsidP="00041E45">
      <w:pPr>
        <w:jc w:val="both"/>
        <w:rPr>
          <w:rFonts w:ascii="Tahoma" w:hAnsi="Tahoma" w:cs="Tahoma"/>
        </w:rPr>
      </w:pPr>
    </w:p>
    <w:p w14:paraId="22FFB91E" w14:textId="77777777" w:rsidR="00723F77" w:rsidRPr="00723F77" w:rsidRDefault="00467005" w:rsidP="00723F77">
      <w:pPr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>
        <w:rPr>
          <w:rFonts w:ascii="Tahoma" w:hAnsi="Tahoma" w:cs="Tahoma"/>
        </w:rPr>
        <w:t xml:space="preserve"> </w:t>
      </w:r>
      <w:r w:rsidR="00723F77" w:rsidRPr="00723F77">
        <w:rPr>
          <w:rFonts w:ascii="Arial" w:eastAsia="Calibri" w:hAnsi="Arial" w:cs="Arial"/>
          <w:b/>
          <w:i/>
          <w:color w:val="993366"/>
          <w:sz w:val="24"/>
          <w:szCs w:val="24"/>
          <w:lang w:eastAsia="fr-FR"/>
        </w:rPr>
        <w:t>TS (mauve)</w:t>
      </w:r>
      <w:r w:rsidR="00723F77"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=  </w:t>
      </w:r>
      <w:r w:rsidR="00723F77" w:rsidRPr="00723F77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plus haut + plus bas</w:t>
      </w:r>
      <w:r w:rsidR="00723F77"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sur les 9 dernières périodes</w:t>
      </w:r>
    </w:p>
    <w:p w14:paraId="476D8B57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         2  </w:t>
      </w:r>
    </w:p>
    <w:p w14:paraId="50876178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74B322C4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color w:val="008000"/>
          <w:sz w:val="24"/>
          <w:szCs w:val="24"/>
          <w:lang w:eastAsia="fr-FR"/>
        </w:rPr>
        <w:t>KS (vert)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= </w:t>
      </w:r>
      <w:r w:rsidRPr="00723F77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plus haut + plus bas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sur les 26 dernières périodes</w:t>
      </w:r>
    </w:p>
    <w:p w14:paraId="1749A1CE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         2  </w:t>
      </w:r>
    </w:p>
    <w:p w14:paraId="7ED12530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color w:val="FF6600"/>
          <w:sz w:val="24"/>
          <w:szCs w:val="24"/>
          <w:lang w:eastAsia="fr-FR"/>
        </w:rPr>
        <w:t>LS (orange)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= clôture                                           décalée de 26 périodes en arrière</w:t>
      </w:r>
    </w:p>
    <w:p w14:paraId="388C9BF9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05486AEA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SSA (bordure du nuage) =   </w:t>
      </w:r>
      <w:r w:rsidRPr="00723F77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TS + KS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projetée 26 périodes en avant</w:t>
      </w:r>
    </w:p>
    <w:p w14:paraId="463A431D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                       2</w:t>
      </w:r>
    </w:p>
    <w:p w14:paraId="442D7A8A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1FC2D328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SSB (bordure opposée du nuage) = </w:t>
      </w:r>
      <w:r w:rsidRPr="00723F77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plus haut + plus bas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sur les 52 dernières </w:t>
      </w:r>
    </w:p>
    <w:p w14:paraId="102B62E7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                                              2</w:t>
      </w:r>
    </w:p>
    <w:p w14:paraId="6B7DE253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57608303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>périodes, projetées 26 périodes en avant</w:t>
      </w:r>
    </w:p>
    <w:p w14:paraId="2C8EE37B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00B9B3EA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6F37BD65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Unités de temps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 : </w:t>
      </w:r>
    </w:p>
    <w:p w14:paraId="4869BE08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1BAC2554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>W: weekly</w:t>
      </w:r>
    </w:p>
    <w:p w14:paraId="3620DAFD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257DDCBA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>D: daily</w:t>
      </w:r>
    </w:p>
    <w:p w14:paraId="6889839D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7E8B1924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H4: base 4 heures  </w:t>
      </w:r>
    </w:p>
    <w:p w14:paraId="395064A0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5C31335A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>H1 : base horaire</w:t>
      </w:r>
    </w:p>
    <w:p w14:paraId="668BECBE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21062831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>30M : base 30 minutes</w:t>
      </w:r>
    </w:p>
    <w:p w14:paraId="04409A40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0003B719" w14:textId="3D6A3070" w:rsidR="00467005" w:rsidRPr="00467005" w:rsidRDefault="00467005" w:rsidP="00041E45">
      <w:pPr>
        <w:jc w:val="both"/>
        <w:rPr>
          <w:rFonts w:ascii="Tahoma" w:hAnsi="Tahoma" w:cs="Tahoma"/>
        </w:rPr>
      </w:pPr>
    </w:p>
    <w:sectPr w:rsidR="00467005" w:rsidRPr="0046700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3AB8"/>
    <w:rsid w:val="0001700F"/>
    <w:rsid w:val="0002580A"/>
    <w:rsid w:val="00041E45"/>
    <w:rsid w:val="000524C5"/>
    <w:rsid w:val="000556C3"/>
    <w:rsid w:val="00074CB0"/>
    <w:rsid w:val="000833FB"/>
    <w:rsid w:val="00091B18"/>
    <w:rsid w:val="00092058"/>
    <w:rsid w:val="000B7DFC"/>
    <w:rsid w:val="000C2E6B"/>
    <w:rsid w:val="000C55CF"/>
    <w:rsid w:val="000D4ED3"/>
    <w:rsid w:val="001018AD"/>
    <w:rsid w:val="00105B4E"/>
    <w:rsid w:val="00134AFA"/>
    <w:rsid w:val="0014687D"/>
    <w:rsid w:val="0015581D"/>
    <w:rsid w:val="00163C46"/>
    <w:rsid w:val="001705F4"/>
    <w:rsid w:val="00190995"/>
    <w:rsid w:val="001A56BC"/>
    <w:rsid w:val="001D474B"/>
    <w:rsid w:val="001F650A"/>
    <w:rsid w:val="002003AD"/>
    <w:rsid w:val="002421FE"/>
    <w:rsid w:val="00262E25"/>
    <w:rsid w:val="00263ED0"/>
    <w:rsid w:val="002A1F8E"/>
    <w:rsid w:val="002B2E05"/>
    <w:rsid w:val="002B5CB1"/>
    <w:rsid w:val="002C0A31"/>
    <w:rsid w:val="002E74E6"/>
    <w:rsid w:val="002F54B0"/>
    <w:rsid w:val="0030643B"/>
    <w:rsid w:val="003373F7"/>
    <w:rsid w:val="00337611"/>
    <w:rsid w:val="00340FD9"/>
    <w:rsid w:val="003466D3"/>
    <w:rsid w:val="00352DD9"/>
    <w:rsid w:val="00376540"/>
    <w:rsid w:val="003C2E49"/>
    <w:rsid w:val="0040171B"/>
    <w:rsid w:val="00467005"/>
    <w:rsid w:val="004A5154"/>
    <w:rsid w:val="004F6B89"/>
    <w:rsid w:val="0052228F"/>
    <w:rsid w:val="00527466"/>
    <w:rsid w:val="00531928"/>
    <w:rsid w:val="005440A4"/>
    <w:rsid w:val="00546A5A"/>
    <w:rsid w:val="00566580"/>
    <w:rsid w:val="00567AF3"/>
    <w:rsid w:val="00583BC8"/>
    <w:rsid w:val="00654380"/>
    <w:rsid w:val="006905BE"/>
    <w:rsid w:val="0069171B"/>
    <w:rsid w:val="006C1A38"/>
    <w:rsid w:val="006C39F9"/>
    <w:rsid w:val="006C5B1E"/>
    <w:rsid w:val="006E32BB"/>
    <w:rsid w:val="006F3C7E"/>
    <w:rsid w:val="006F62B4"/>
    <w:rsid w:val="0071313E"/>
    <w:rsid w:val="00723F77"/>
    <w:rsid w:val="00726DAC"/>
    <w:rsid w:val="00744696"/>
    <w:rsid w:val="00772067"/>
    <w:rsid w:val="0077545D"/>
    <w:rsid w:val="007A0E6C"/>
    <w:rsid w:val="007B661D"/>
    <w:rsid w:val="007D19FF"/>
    <w:rsid w:val="007D2085"/>
    <w:rsid w:val="00816D5A"/>
    <w:rsid w:val="0083454A"/>
    <w:rsid w:val="008348C6"/>
    <w:rsid w:val="00835AC6"/>
    <w:rsid w:val="00837B38"/>
    <w:rsid w:val="00847D10"/>
    <w:rsid w:val="008503D1"/>
    <w:rsid w:val="00861086"/>
    <w:rsid w:val="00866E32"/>
    <w:rsid w:val="00872068"/>
    <w:rsid w:val="00896554"/>
    <w:rsid w:val="008A7407"/>
    <w:rsid w:val="008B63F0"/>
    <w:rsid w:val="008F10C2"/>
    <w:rsid w:val="00902D2F"/>
    <w:rsid w:val="00926C9D"/>
    <w:rsid w:val="009275A0"/>
    <w:rsid w:val="00956417"/>
    <w:rsid w:val="00956D3C"/>
    <w:rsid w:val="00961FDF"/>
    <w:rsid w:val="00983B7D"/>
    <w:rsid w:val="009A37C2"/>
    <w:rsid w:val="009F3AB8"/>
    <w:rsid w:val="00A11606"/>
    <w:rsid w:val="00A6401C"/>
    <w:rsid w:val="00A81AB7"/>
    <w:rsid w:val="00AE7F3B"/>
    <w:rsid w:val="00B13FCD"/>
    <w:rsid w:val="00B34260"/>
    <w:rsid w:val="00B41C02"/>
    <w:rsid w:val="00B4700F"/>
    <w:rsid w:val="00B47493"/>
    <w:rsid w:val="00B50E38"/>
    <w:rsid w:val="00B554B8"/>
    <w:rsid w:val="00B64EE0"/>
    <w:rsid w:val="00BB0E32"/>
    <w:rsid w:val="00BB6D9D"/>
    <w:rsid w:val="00BC77A5"/>
    <w:rsid w:val="00BD3FC1"/>
    <w:rsid w:val="00C17ED7"/>
    <w:rsid w:val="00C41F15"/>
    <w:rsid w:val="00C70171"/>
    <w:rsid w:val="00C70A68"/>
    <w:rsid w:val="00C82E98"/>
    <w:rsid w:val="00CC7C21"/>
    <w:rsid w:val="00CE0886"/>
    <w:rsid w:val="00CF2516"/>
    <w:rsid w:val="00CF6D63"/>
    <w:rsid w:val="00D23B28"/>
    <w:rsid w:val="00D46C8D"/>
    <w:rsid w:val="00D55568"/>
    <w:rsid w:val="00DE5444"/>
    <w:rsid w:val="00DF072F"/>
    <w:rsid w:val="00E32014"/>
    <w:rsid w:val="00EB58BA"/>
    <w:rsid w:val="00ED5B88"/>
    <w:rsid w:val="00F04A6E"/>
    <w:rsid w:val="00F04DEF"/>
    <w:rsid w:val="00F10F5D"/>
    <w:rsid w:val="00F31070"/>
    <w:rsid w:val="00F53F10"/>
    <w:rsid w:val="00F636F8"/>
    <w:rsid w:val="00F778F5"/>
    <w:rsid w:val="00F80115"/>
    <w:rsid w:val="00FA2C8E"/>
    <w:rsid w:val="00FC1860"/>
    <w:rsid w:val="00FC7EA5"/>
    <w:rsid w:val="00FE4E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B5EB49"/>
  <w15:chartTrackingRefBased/>
  <w15:docId w15:val="{8D958F43-A15C-4150-B920-BE8741EFE5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A81309F-AB94-4C63-8650-B80168C5A3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823</TotalTime>
  <Pages>4</Pages>
  <Words>577</Words>
  <Characters>3178</Characters>
  <Application>Microsoft Office Word</Application>
  <DocSecurity>0</DocSecurity>
  <Lines>26</Lines>
  <Paragraphs>7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jean-luc attal</dc:creator>
  <cp:keywords/>
  <dc:description/>
  <cp:lastModifiedBy>jean-luc attal</cp:lastModifiedBy>
  <cp:revision>113</cp:revision>
  <dcterms:created xsi:type="dcterms:W3CDTF">2021-11-25T09:44:00Z</dcterms:created>
  <dcterms:modified xsi:type="dcterms:W3CDTF">2025-02-02T16:13:00Z</dcterms:modified>
</cp:coreProperties>
</file>