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3882170"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2D3C4203" w:rsidR="00902D2F" w:rsidRPr="00041E45" w:rsidRDefault="002847FA" w:rsidP="00B41C02">
      <w:pPr>
        <w:jc w:val="both"/>
        <w:rPr>
          <w:rFonts w:ascii="Tahoma" w:hAnsi="Tahoma" w:cs="Tahoma"/>
          <w:sz w:val="32"/>
          <w:szCs w:val="32"/>
          <w:u w:val="single"/>
        </w:rPr>
      </w:pPr>
      <w:bookmarkStart w:id="0" w:name="_Hlk189298571"/>
      <w:r>
        <w:rPr>
          <w:rFonts w:ascii="Tahoma" w:hAnsi="Tahoma" w:cs="Tahoma"/>
          <w:sz w:val="32"/>
          <w:szCs w:val="32"/>
          <w:u w:val="single"/>
        </w:rPr>
        <w:t>Month</w:t>
      </w:r>
    </w:p>
    <w:p w14:paraId="2862B446" w14:textId="02D3B314" w:rsidR="00902D2F" w:rsidRDefault="007203C1" w:rsidP="00B41C02">
      <w:pPr>
        <w:jc w:val="both"/>
        <w:rPr>
          <w:rFonts w:ascii="Tahoma" w:hAnsi="Tahoma" w:cs="Tahoma"/>
        </w:rPr>
      </w:pPr>
      <w:r>
        <w:rPr>
          <w:noProof/>
        </w:rPr>
        <w:drawing>
          <wp:inline distT="0" distB="0" distL="0" distR="0" wp14:anchorId="3A4D6B3C" wp14:editId="22B02360">
            <wp:extent cx="5760720" cy="4320540"/>
            <wp:effectExtent l="0" t="0" r="0" b="3810"/>
            <wp:docPr id="171266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619F614D" w:rsidR="00DF072F" w:rsidRDefault="00B248B7" w:rsidP="00B41C02">
      <w:pPr>
        <w:jc w:val="both"/>
        <w:rPr>
          <w:rFonts w:ascii="Tahoma" w:hAnsi="Tahoma" w:cs="Tahoma"/>
        </w:rPr>
      </w:pPr>
      <w:r>
        <w:rPr>
          <w:rFonts w:ascii="Tahoma" w:hAnsi="Tahoma" w:cs="Tahoma"/>
        </w:rPr>
        <w:t>Le graphique mensuel nous donne les supports et résistance issus des lignes Ichimoku.</w:t>
      </w:r>
    </w:p>
    <w:p w14:paraId="462027B2" w14:textId="66117E51" w:rsidR="00B248B7" w:rsidRDefault="00B248B7" w:rsidP="00B41C02">
      <w:pPr>
        <w:jc w:val="both"/>
        <w:rPr>
          <w:rFonts w:ascii="Tahoma" w:hAnsi="Tahoma" w:cs="Tahoma"/>
        </w:rPr>
      </w:pPr>
      <w:r>
        <w:rPr>
          <w:rFonts w:ascii="Tahoma" w:hAnsi="Tahoma" w:cs="Tahoma"/>
        </w:rPr>
        <w:t>Ainsi pour le contrat Bund mars 2025, ces lignes restent identiques à celles du mois dernier.</w:t>
      </w:r>
    </w:p>
    <w:p w14:paraId="059299AA" w14:textId="79E254AA" w:rsidR="00CC77DB" w:rsidRDefault="00CC77DB" w:rsidP="00B41C02">
      <w:pPr>
        <w:jc w:val="both"/>
        <w:rPr>
          <w:rFonts w:ascii="Tahoma" w:hAnsi="Tahoma" w:cs="Tahoma"/>
        </w:rPr>
      </w:pPr>
      <w:r>
        <w:rPr>
          <w:rFonts w:ascii="Tahoma" w:hAnsi="Tahoma" w:cs="Tahoma"/>
        </w:rPr>
        <w:t xml:space="preserve">Pour </w:t>
      </w:r>
      <w:r w:rsidR="00720589">
        <w:rPr>
          <w:rFonts w:ascii="Tahoma" w:hAnsi="Tahoma" w:cs="Tahoma"/>
        </w:rPr>
        <w:t>mémoire</w:t>
      </w:r>
      <w:r>
        <w:rPr>
          <w:rFonts w:ascii="Tahoma" w:hAnsi="Tahoma" w:cs="Tahoma"/>
        </w:rPr>
        <w:t xml:space="preserve">, nous avons </w:t>
      </w:r>
      <w:r w:rsidR="00922DCD">
        <w:rPr>
          <w:rFonts w:ascii="Tahoma" w:hAnsi="Tahoma" w:cs="Tahoma"/>
        </w:rPr>
        <w:t>un marché cadré par des supports situés sur 123.00 et 128.40 qui corresponde</w:t>
      </w:r>
      <w:r w:rsidR="00952790">
        <w:rPr>
          <w:rFonts w:ascii="Tahoma" w:hAnsi="Tahoma" w:cs="Tahoma"/>
        </w:rPr>
        <w:t>nt</w:t>
      </w:r>
      <w:r w:rsidR="00922DCD">
        <w:rPr>
          <w:rFonts w:ascii="Tahoma" w:hAnsi="Tahoma" w:cs="Tahoma"/>
        </w:rPr>
        <w:t xml:space="preserve"> respectivement à </w:t>
      </w:r>
      <w:r w:rsidR="00720589">
        <w:rPr>
          <w:rFonts w:ascii="Tahoma" w:hAnsi="Tahoma" w:cs="Tahoma"/>
        </w:rPr>
        <w:t>des plats passés</w:t>
      </w:r>
      <w:r w:rsidR="00922DCD">
        <w:rPr>
          <w:rFonts w:ascii="Tahoma" w:hAnsi="Tahoma" w:cs="Tahoma"/>
        </w:rPr>
        <w:t xml:space="preserve"> de KS et de SSB, quant aux résistances, elles se situent sur 138.00 et 146.82 </w:t>
      </w:r>
      <w:r w:rsidR="00952790">
        <w:rPr>
          <w:rFonts w:ascii="Tahoma" w:hAnsi="Tahoma" w:cs="Tahoma"/>
        </w:rPr>
        <w:t xml:space="preserve">et sont </w:t>
      </w:r>
      <w:r w:rsidR="004E2B31">
        <w:rPr>
          <w:rFonts w:ascii="Tahoma" w:hAnsi="Tahoma" w:cs="Tahoma"/>
        </w:rPr>
        <w:t>matérialisées par d’anciens plats de KS.</w:t>
      </w:r>
    </w:p>
    <w:p w14:paraId="64D227DA" w14:textId="177AF2E8" w:rsidR="006635AC" w:rsidRDefault="006635AC" w:rsidP="00B41C02">
      <w:pPr>
        <w:jc w:val="both"/>
        <w:rPr>
          <w:rFonts w:ascii="Tahoma" w:hAnsi="Tahoma" w:cs="Tahoma"/>
        </w:rPr>
      </w:pPr>
      <w:r>
        <w:rPr>
          <w:rFonts w:ascii="Tahoma" w:hAnsi="Tahoma" w:cs="Tahoma"/>
        </w:rPr>
        <w:t xml:space="preserve">Le positionnement des cours et de la LS </w:t>
      </w:r>
      <w:r w:rsidR="00720589">
        <w:rPr>
          <w:rFonts w:ascii="Tahoma" w:hAnsi="Tahoma" w:cs="Tahoma"/>
        </w:rPr>
        <w:t>place</w:t>
      </w:r>
      <w:r>
        <w:rPr>
          <w:rFonts w:ascii="Tahoma" w:hAnsi="Tahoma" w:cs="Tahoma"/>
        </w:rPr>
        <w:t xml:space="preserve"> le contrat dans </w:t>
      </w:r>
      <w:r w:rsidR="00AC379D">
        <w:rPr>
          <w:rFonts w:ascii="Tahoma" w:hAnsi="Tahoma" w:cs="Tahoma"/>
        </w:rPr>
        <w:t>u</w:t>
      </w:r>
      <w:r>
        <w:rPr>
          <w:rFonts w:ascii="Tahoma" w:hAnsi="Tahoma" w:cs="Tahoma"/>
        </w:rPr>
        <w:t>n environnement où la baisse reste dominante</w:t>
      </w:r>
      <w:r w:rsidR="00DF3D6D">
        <w:rPr>
          <w:rFonts w:ascii="Tahoma" w:hAnsi="Tahoma" w:cs="Tahoma"/>
        </w:rPr>
        <w:t>. Il faudra attendre le dépassement de la zone des 149.50 pour envisager un changement de contexte.</w:t>
      </w:r>
    </w:p>
    <w:p w14:paraId="4A204E16" w14:textId="26FAEA0B" w:rsidR="00DF3D6D" w:rsidRDefault="00173BEE" w:rsidP="00B41C02">
      <w:pPr>
        <w:jc w:val="both"/>
        <w:rPr>
          <w:rFonts w:ascii="Tahoma" w:hAnsi="Tahoma" w:cs="Tahoma"/>
        </w:rPr>
      </w:pPr>
      <w:r>
        <w:rPr>
          <w:rFonts w:ascii="Tahoma" w:hAnsi="Tahoma" w:cs="Tahoma"/>
        </w:rPr>
        <w:t>La forme plate qui se développe au niveau de la TS et de la KS traduit l’absence de dynamique de mouvement.</w:t>
      </w:r>
      <w:r w:rsidR="001B1EA9">
        <w:rPr>
          <w:rFonts w:ascii="Tahoma" w:hAnsi="Tahoma" w:cs="Tahoma"/>
        </w:rPr>
        <w:t xml:space="preserve"> elle signifie que la baisse des prix s’est </w:t>
      </w:r>
      <w:r w:rsidR="00720589">
        <w:rPr>
          <w:rFonts w:ascii="Tahoma" w:hAnsi="Tahoma" w:cs="Tahoma"/>
        </w:rPr>
        <w:t>arrêtée</w:t>
      </w:r>
      <w:r w:rsidR="00AF5109">
        <w:rPr>
          <w:rFonts w:ascii="Tahoma" w:hAnsi="Tahoma" w:cs="Tahoma"/>
        </w:rPr>
        <w:t xml:space="preserve">, </w:t>
      </w:r>
      <w:r w:rsidR="00AC379D">
        <w:rPr>
          <w:rFonts w:ascii="Tahoma" w:hAnsi="Tahoma" w:cs="Tahoma"/>
        </w:rPr>
        <w:t xml:space="preserve">ce qui </w:t>
      </w:r>
      <w:r w:rsidR="00AF5109">
        <w:rPr>
          <w:rFonts w:ascii="Tahoma" w:hAnsi="Tahoma" w:cs="Tahoma"/>
        </w:rPr>
        <w:t>laiss</w:t>
      </w:r>
      <w:r w:rsidR="00AC379D">
        <w:rPr>
          <w:rFonts w:ascii="Tahoma" w:hAnsi="Tahoma" w:cs="Tahoma"/>
        </w:rPr>
        <w:t>e</w:t>
      </w:r>
      <w:r w:rsidR="00AF5109">
        <w:rPr>
          <w:rFonts w:ascii="Tahoma" w:hAnsi="Tahoma" w:cs="Tahoma"/>
        </w:rPr>
        <w:t xml:space="preserve"> la possibilité au marché de choisir une nouvelle direction si de nouveaux bas ne sont pas validés.</w:t>
      </w:r>
    </w:p>
    <w:p w14:paraId="5838B7D5" w14:textId="6BCABDAE" w:rsidR="002847FA" w:rsidRDefault="004B2458" w:rsidP="002847FA">
      <w:pPr>
        <w:jc w:val="both"/>
        <w:rPr>
          <w:rFonts w:ascii="Tahoma" w:hAnsi="Tahoma" w:cs="Tahoma"/>
        </w:rPr>
      </w:pPr>
      <w:r>
        <w:rPr>
          <w:rFonts w:ascii="Tahoma" w:hAnsi="Tahoma" w:cs="Tahoma"/>
        </w:rPr>
        <w:t>La dernière chandelle en doji confirme un peu plus l’idée que le marché fait une pause.</w:t>
      </w:r>
      <w:r w:rsidR="00852F2A">
        <w:rPr>
          <w:rFonts w:ascii="Tahoma" w:hAnsi="Tahoma" w:cs="Tahoma"/>
        </w:rPr>
        <w:t xml:space="preserve"> Le rapport de force s’équilibre </w:t>
      </w:r>
      <w:r w:rsidR="00AC379D">
        <w:rPr>
          <w:rFonts w:ascii="Tahoma" w:hAnsi="Tahoma" w:cs="Tahoma"/>
        </w:rPr>
        <w:t>avec</w:t>
      </w:r>
      <w:r w:rsidR="00852F2A">
        <w:rPr>
          <w:rFonts w:ascii="Tahoma" w:hAnsi="Tahoma" w:cs="Tahoma"/>
        </w:rPr>
        <w:t xml:space="preserve"> ce dernier chandelier. La baisse ne sera alors envisagée qu’en  rupture de son point bas, à savoir 130.28.</w:t>
      </w:r>
      <w:bookmarkEnd w:id="0"/>
    </w:p>
    <w:p w14:paraId="465C58D8" w14:textId="77777777" w:rsidR="00BC4056" w:rsidRPr="00BC4056" w:rsidRDefault="00BC4056" w:rsidP="002847FA">
      <w:pPr>
        <w:jc w:val="both"/>
        <w:rPr>
          <w:rFonts w:ascii="Tahoma" w:hAnsi="Tahoma" w:cs="Tahoma"/>
        </w:rPr>
      </w:pPr>
    </w:p>
    <w:p w14:paraId="0AF7D031" w14:textId="71DA2134" w:rsidR="002847FA" w:rsidRPr="00041E45" w:rsidRDefault="002847FA" w:rsidP="002847FA">
      <w:pPr>
        <w:jc w:val="both"/>
        <w:rPr>
          <w:rFonts w:ascii="Tahoma" w:hAnsi="Tahoma" w:cs="Tahoma"/>
          <w:sz w:val="32"/>
          <w:szCs w:val="32"/>
          <w:u w:val="single"/>
        </w:rPr>
      </w:pPr>
      <w:r w:rsidRPr="00041E45">
        <w:rPr>
          <w:rFonts w:ascii="Tahoma" w:hAnsi="Tahoma" w:cs="Tahoma"/>
          <w:sz w:val="32"/>
          <w:szCs w:val="32"/>
          <w:u w:val="single"/>
        </w:rPr>
        <w:lastRenderedPageBreak/>
        <w:t>Week</w:t>
      </w:r>
    </w:p>
    <w:p w14:paraId="5FFA9D86" w14:textId="4E2876AE" w:rsidR="002847FA" w:rsidRDefault="007203C1" w:rsidP="002847FA">
      <w:pPr>
        <w:jc w:val="both"/>
        <w:rPr>
          <w:rFonts w:ascii="Tahoma" w:hAnsi="Tahoma" w:cs="Tahoma"/>
        </w:rPr>
      </w:pPr>
      <w:r>
        <w:rPr>
          <w:noProof/>
        </w:rPr>
        <w:drawing>
          <wp:inline distT="0" distB="0" distL="0" distR="0" wp14:anchorId="3EFBDDCE" wp14:editId="3311CFAF">
            <wp:extent cx="5760720" cy="4320540"/>
            <wp:effectExtent l="0" t="0" r="0" b="3810"/>
            <wp:docPr id="5087670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C7A0096" w14:textId="77777777" w:rsidR="002847FA" w:rsidRDefault="002847FA" w:rsidP="002847FA">
      <w:pPr>
        <w:jc w:val="both"/>
        <w:rPr>
          <w:rFonts w:ascii="Tahoma" w:hAnsi="Tahoma" w:cs="Tahoma"/>
        </w:rPr>
      </w:pPr>
    </w:p>
    <w:p w14:paraId="156E5434" w14:textId="055A759C" w:rsidR="00EE1024" w:rsidRDefault="002847FA" w:rsidP="002847FA">
      <w:pPr>
        <w:jc w:val="both"/>
        <w:rPr>
          <w:rFonts w:ascii="Tahoma" w:hAnsi="Tahoma" w:cs="Tahoma"/>
        </w:rPr>
      </w:pPr>
      <w:r>
        <w:rPr>
          <w:rFonts w:ascii="Tahoma" w:hAnsi="Tahoma" w:cs="Tahoma"/>
        </w:rPr>
        <w:t xml:space="preserve"> </w:t>
      </w:r>
      <w:r w:rsidR="00EE1024">
        <w:rPr>
          <w:rFonts w:ascii="Tahoma" w:hAnsi="Tahoma" w:cs="Tahoma"/>
        </w:rPr>
        <w:t>Le moyen terme continue d’évoluer au sein d’une large dériv</w:t>
      </w:r>
      <w:r w:rsidR="002850BB">
        <w:rPr>
          <w:rFonts w:ascii="Tahoma" w:hAnsi="Tahoma" w:cs="Tahoma"/>
        </w:rPr>
        <w:t>e</w:t>
      </w:r>
      <w:r w:rsidR="00EE1024">
        <w:rPr>
          <w:rFonts w:ascii="Tahoma" w:hAnsi="Tahoma" w:cs="Tahoma"/>
        </w:rPr>
        <w:t xml:space="preserve"> latérale cadrée par le support de long terme de 128.40 et une résistance située sur 139.10. </w:t>
      </w:r>
      <w:r w:rsidR="002850BB">
        <w:rPr>
          <w:rFonts w:ascii="Tahoma" w:hAnsi="Tahoma" w:cs="Tahoma"/>
        </w:rPr>
        <w:t>Ce sont l</w:t>
      </w:r>
      <w:r w:rsidR="00EE1024">
        <w:rPr>
          <w:rFonts w:ascii="Tahoma" w:hAnsi="Tahoma" w:cs="Tahoma"/>
        </w:rPr>
        <w:t xml:space="preserve">es nombreux twists du nuage </w:t>
      </w:r>
      <w:r w:rsidR="002850BB">
        <w:rPr>
          <w:rFonts w:ascii="Tahoma" w:hAnsi="Tahoma" w:cs="Tahoma"/>
        </w:rPr>
        <w:t>qui</w:t>
      </w:r>
      <w:r w:rsidR="00EE1024">
        <w:rPr>
          <w:rFonts w:ascii="Tahoma" w:hAnsi="Tahoma" w:cs="Tahoma"/>
        </w:rPr>
        <w:t xml:space="preserve"> m’ont amené à cette conclusion.</w:t>
      </w:r>
    </w:p>
    <w:p w14:paraId="5F754B57" w14:textId="6CAD5C21" w:rsidR="002847FA" w:rsidRDefault="00EE1024" w:rsidP="002847FA">
      <w:pPr>
        <w:jc w:val="both"/>
        <w:rPr>
          <w:rFonts w:ascii="Tahoma" w:hAnsi="Tahoma" w:cs="Tahoma"/>
        </w:rPr>
      </w:pPr>
      <w:r>
        <w:rPr>
          <w:rFonts w:ascii="Tahoma" w:hAnsi="Tahoma" w:cs="Tahoma"/>
        </w:rPr>
        <w:t xml:space="preserve">Le point d’équilibre de </w:t>
      </w:r>
      <w:r w:rsidR="002850BB">
        <w:rPr>
          <w:rFonts w:ascii="Tahoma" w:hAnsi="Tahoma" w:cs="Tahoma"/>
        </w:rPr>
        <w:t>la</w:t>
      </w:r>
      <w:r>
        <w:rPr>
          <w:rFonts w:ascii="Tahoma" w:hAnsi="Tahoma" w:cs="Tahoma"/>
        </w:rPr>
        <w:t xml:space="preserve"> consolidation reprend le plat de SSB de 134.29.  </w:t>
      </w:r>
      <w:r w:rsidR="00A9059B">
        <w:rPr>
          <w:rFonts w:ascii="Tahoma" w:hAnsi="Tahoma" w:cs="Tahoma"/>
        </w:rPr>
        <w:t xml:space="preserve">Le positionnement des prix par rapport </w:t>
      </w:r>
      <w:r w:rsidR="002850BB">
        <w:rPr>
          <w:rFonts w:ascii="Tahoma" w:hAnsi="Tahoma" w:cs="Tahoma"/>
        </w:rPr>
        <w:t>au point de</w:t>
      </w:r>
      <w:r w:rsidR="00A9059B">
        <w:rPr>
          <w:rFonts w:ascii="Tahoma" w:hAnsi="Tahoma" w:cs="Tahoma"/>
        </w:rPr>
        <w:t xml:space="preserve"> 134.29 donne</w:t>
      </w:r>
      <w:r w:rsidR="002850BB">
        <w:rPr>
          <w:rFonts w:ascii="Tahoma" w:hAnsi="Tahoma" w:cs="Tahoma"/>
        </w:rPr>
        <w:t xml:space="preserve"> </w:t>
      </w:r>
      <w:r w:rsidR="00A9059B">
        <w:rPr>
          <w:rFonts w:ascii="Tahoma" w:hAnsi="Tahoma" w:cs="Tahoma"/>
        </w:rPr>
        <w:t xml:space="preserve">un </w:t>
      </w:r>
      <w:r w:rsidR="00720589">
        <w:rPr>
          <w:rFonts w:ascii="Tahoma" w:hAnsi="Tahoma" w:cs="Tahoma"/>
        </w:rPr>
        <w:t>léger</w:t>
      </w:r>
      <w:r w:rsidR="00A9059B">
        <w:rPr>
          <w:rFonts w:ascii="Tahoma" w:hAnsi="Tahoma" w:cs="Tahoma"/>
        </w:rPr>
        <w:t xml:space="preserve"> avantage à la hausse ou à la baisse au sein de cette </w:t>
      </w:r>
      <w:r w:rsidR="00720589">
        <w:rPr>
          <w:rFonts w:ascii="Tahoma" w:hAnsi="Tahoma" w:cs="Tahoma"/>
        </w:rPr>
        <w:t>dérive</w:t>
      </w:r>
      <w:r w:rsidR="00A9059B">
        <w:rPr>
          <w:rFonts w:ascii="Tahoma" w:hAnsi="Tahoma" w:cs="Tahoma"/>
        </w:rPr>
        <w:t xml:space="preserve"> latérale.</w:t>
      </w:r>
    </w:p>
    <w:p w14:paraId="0860B9F1" w14:textId="4A7A1F4A" w:rsidR="0029157A" w:rsidRDefault="0029157A" w:rsidP="002847FA">
      <w:pPr>
        <w:jc w:val="both"/>
        <w:rPr>
          <w:rFonts w:ascii="Tahoma" w:hAnsi="Tahoma" w:cs="Tahoma"/>
        </w:rPr>
      </w:pPr>
      <w:r>
        <w:rPr>
          <w:rFonts w:ascii="Tahoma" w:hAnsi="Tahoma" w:cs="Tahoma"/>
        </w:rPr>
        <w:t xml:space="preserve">Dans ce contexte, pour envisager une poursuite de la hausse commencée il y a trois semaines,  en direction de 139.10, le contrat Bund devra revenir s’établir </w:t>
      </w:r>
      <w:r w:rsidR="00720589">
        <w:rPr>
          <w:rFonts w:ascii="Tahoma" w:hAnsi="Tahoma" w:cs="Tahoma"/>
        </w:rPr>
        <w:t>au-dessus</w:t>
      </w:r>
      <w:r>
        <w:rPr>
          <w:rFonts w:ascii="Tahoma" w:hAnsi="Tahoma" w:cs="Tahoma"/>
        </w:rPr>
        <w:t xml:space="preserve"> de 134.29.</w:t>
      </w:r>
    </w:p>
    <w:p w14:paraId="01D4EA08" w14:textId="68422950" w:rsidR="002B1390" w:rsidRDefault="00BB6386" w:rsidP="002847FA">
      <w:pPr>
        <w:jc w:val="both"/>
        <w:rPr>
          <w:rFonts w:ascii="Tahoma" w:hAnsi="Tahoma" w:cs="Tahoma"/>
        </w:rPr>
      </w:pPr>
      <w:r>
        <w:rPr>
          <w:rFonts w:ascii="Tahoma" w:hAnsi="Tahoma" w:cs="Tahoma"/>
        </w:rPr>
        <w:t xml:space="preserve">La structure d’alerte haussière en ligne de poussée de la semaine du 13 janvier (T-3) </w:t>
      </w:r>
      <w:r w:rsidR="002D2AA2">
        <w:rPr>
          <w:rFonts w:ascii="Tahoma" w:hAnsi="Tahoma" w:cs="Tahoma"/>
        </w:rPr>
        <w:t xml:space="preserve">n’a pas été confirmée tout de suite. Mais la dernière chandelle blanche de la semaine qui </w:t>
      </w:r>
      <w:r w:rsidR="00720589">
        <w:rPr>
          <w:rFonts w:ascii="Tahoma" w:hAnsi="Tahoma" w:cs="Tahoma"/>
        </w:rPr>
        <w:t>clôture</w:t>
      </w:r>
      <w:r w:rsidR="002D2AA2">
        <w:rPr>
          <w:rFonts w:ascii="Tahoma" w:hAnsi="Tahoma" w:cs="Tahoma"/>
        </w:rPr>
        <w:t xml:space="preserve"> sur 132.52 transforme </w:t>
      </w:r>
      <w:r w:rsidR="00DB78DB">
        <w:rPr>
          <w:rFonts w:ascii="Tahoma" w:hAnsi="Tahoma" w:cs="Tahoma"/>
        </w:rPr>
        <w:t xml:space="preserve">la </w:t>
      </w:r>
      <w:r w:rsidR="002850BB">
        <w:rPr>
          <w:rFonts w:ascii="Tahoma" w:hAnsi="Tahoma" w:cs="Tahoma"/>
        </w:rPr>
        <w:t>précédente semaine</w:t>
      </w:r>
      <w:r w:rsidR="00DB78DB">
        <w:rPr>
          <w:rFonts w:ascii="Tahoma" w:hAnsi="Tahoma" w:cs="Tahoma"/>
        </w:rPr>
        <w:t xml:space="preserve"> d’hésitation en conviction haussière.</w:t>
      </w:r>
    </w:p>
    <w:p w14:paraId="0D188BF7" w14:textId="3FF353CB" w:rsidR="00BB6386" w:rsidRDefault="002B1390" w:rsidP="002847FA">
      <w:pPr>
        <w:jc w:val="both"/>
        <w:rPr>
          <w:rFonts w:ascii="Tahoma" w:hAnsi="Tahoma" w:cs="Tahoma"/>
        </w:rPr>
      </w:pPr>
      <w:r>
        <w:rPr>
          <w:rFonts w:ascii="Tahoma" w:hAnsi="Tahoma" w:cs="Tahoma"/>
        </w:rPr>
        <w:t>Ainsi l’enchainement des derniers chandeliers est favorable à une poursuite de la hausse sur 134.29.</w:t>
      </w:r>
      <w:r w:rsidR="002D2AA2">
        <w:rPr>
          <w:rFonts w:ascii="Tahoma" w:hAnsi="Tahoma" w:cs="Tahoma"/>
        </w:rPr>
        <w:t xml:space="preserve">  </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643F2C8" w:rsidR="00583BC8" w:rsidRDefault="007203C1" w:rsidP="00B41C02">
      <w:pPr>
        <w:jc w:val="both"/>
        <w:rPr>
          <w:rFonts w:ascii="Tahoma" w:hAnsi="Tahoma" w:cs="Tahoma"/>
        </w:rPr>
      </w:pPr>
      <w:r>
        <w:rPr>
          <w:noProof/>
        </w:rPr>
        <w:lastRenderedPageBreak/>
        <w:drawing>
          <wp:inline distT="0" distB="0" distL="0" distR="0" wp14:anchorId="3866E620" wp14:editId="0FE0A20C">
            <wp:extent cx="5760720" cy="4320540"/>
            <wp:effectExtent l="0" t="0" r="0" b="3810"/>
            <wp:docPr id="179403380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6513C4A0" w:rsidR="00467005" w:rsidRDefault="00AE47AE" w:rsidP="00041E45">
      <w:pPr>
        <w:jc w:val="both"/>
        <w:rPr>
          <w:rFonts w:ascii="Tahoma" w:hAnsi="Tahoma" w:cs="Tahoma"/>
        </w:rPr>
      </w:pPr>
      <w:r>
        <w:rPr>
          <w:rFonts w:ascii="Tahoma" w:hAnsi="Tahoma" w:cs="Tahoma"/>
        </w:rPr>
        <w:t xml:space="preserve">Le contexte est baissier sur le court terme où cours et LS évoluent sous leur nuage respectif. La poursuite de la hausse des dernières séances devra faire face à </w:t>
      </w:r>
      <w:r w:rsidR="00720589">
        <w:rPr>
          <w:rFonts w:ascii="Tahoma" w:hAnsi="Tahoma" w:cs="Tahoma"/>
        </w:rPr>
        <w:t>différents</w:t>
      </w:r>
      <w:r>
        <w:rPr>
          <w:rFonts w:ascii="Tahoma" w:hAnsi="Tahoma" w:cs="Tahoma"/>
        </w:rPr>
        <w:t xml:space="preserve"> obstacles pour valider le changement de direction. La LS va devoir s’affranchir de sa barrière de prix et par la suite de son nuage. Cela donne une zone de résistance qui débutera sur 132.80 et se terminera sur 134.90. </w:t>
      </w:r>
      <w:r w:rsidR="00AA4381">
        <w:rPr>
          <w:rFonts w:ascii="Tahoma" w:hAnsi="Tahoma" w:cs="Tahoma"/>
        </w:rPr>
        <w:t>Quant aux prix, le plat de SSB future de 133.63 pourrait avoir raison de l’optimi</w:t>
      </w:r>
      <w:r w:rsidR="00C026B6">
        <w:rPr>
          <w:rFonts w:ascii="Tahoma" w:hAnsi="Tahoma" w:cs="Tahoma"/>
        </w:rPr>
        <w:t>sme des acheteurs.</w:t>
      </w:r>
    </w:p>
    <w:p w14:paraId="139F71B2" w14:textId="16D4D50D" w:rsidR="00C026B6" w:rsidRPr="00D63F33" w:rsidRDefault="00C026B6" w:rsidP="00041E45">
      <w:pPr>
        <w:jc w:val="both"/>
        <w:rPr>
          <w:rFonts w:ascii="Tahoma" w:hAnsi="Tahoma" w:cs="Tahoma"/>
        </w:rPr>
      </w:pPr>
      <w:r>
        <w:rPr>
          <w:rFonts w:ascii="Tahoma" w:hAnsi="Tahoma" w:cs="Tahoma"/>
        </w:rPr>
        <w:t xml:space="preserve">En ce qui concerne le rapport de force acheteur/vendeur, </w:t>
      </w:r>
      <w:r w:rsidR="003E21F5">
        <w:rPr>
          <w:rFonts w:ascii="Tahoma" w:hAnsi="Tahoma" w:cs="Tahoma"/>
        </w:rPr>
        <w:t xml:space="preserve">les haussiers ont repris l’avantage. Comme je le précisais lors de ma dernière analyse, </w:t>
      </w:r>
      <w:r w:rsidR="00720589">
        <w:rPr>
          <w:rFonts w:ascii="Tahoma" w:hAnsi="Tahoma" w:cs="Tahoma"/>
        </w:rPr>
        <w:t>au-dessus</w:t>
      </w:r>
      <w:r w:rsidR="003E21F5">
        <w:rPr>
          <w:rFonts w:ascii="Tahoma" w:hAnsi="Tahoma" w:cs="Tahoma"/>
        </w:rPr>
        <w:t xml:space="preserve"> de la base du long chandelier blanc, les acheteurs garderont l’avantage. Dans la partie supérieure de cette bougie, c’est-à-dire </w:t>
      </w:r>
      <w:r w:rsidR="00720589">
        <w:rPr>
          <w:rFonts w:ascii="Tahoma" w:hAnsi="Tahoma" w:cs="Tahoma"/>
        </w:rPr>
        <w:t>au-dessus</w:t>
      </w:r>
      <w:r w:rsidR="0009557E">
        <w:rPr>
          <w:rFonts w:ascii="Tahoma" w:hAnsi="Tahoma" w:cs="Tahoma"/>
        </w:rPr>
        <w:t xml:space="preserve"> de </w:t>
      </w:r>
      <w:r w:rsidR="003E21F5">
        <w:rPr>
          <w:rFonts w:ascii="Tahoma" w:hAnsi="Tahoma" w:cs="Tahoma"/>
        </w:rPr>
        <w:t xml:space="preserve">130.92, ces </w:t>
      </w:r>
      <w:r w:rsidR="0009557E" w:rsidRPr="00720589">
        <w:rPr>
          <w:rFonts w:ascii="Tahoma" w:hAnsi="Tahoma" w:cs="Tahoma"/>
        </w:rPr>
        <w:t xml:space="preserve">acheteurs </w:t>
      </w:r>
      <w:r w:rsidR="00D63F33" w:rsidRPr="00720589">
        <w:rPr>
          <w:rFonts w:ascii="Tahoma" w:hAnsi="Tahoma" w:cs="Tahoma"/>
        </w:rPr>
        <w:t>ne douteront pas</w:t>
      </w:r>
      <w:r w:rsidR="003E21F5" w:rsidRPr="00D63F33">
        <w:rPr>
          <w:rFonts w:ascii="Tahoma" w:hAnsi="Tahoma" w:cs="Tahoma"/>
        </w:rPr>
        <w:t>.</w:t>
      </w:r>
    </w:p>
    <w:p w14:paraId="10BB9766" w14:textId="77777777" w:rsidR="00723F77" w:rsidRDefault="00723F77" w:rsidP="00041E45">
      <w:pPr>
        <w:jc w:val="both"/>
        <w:rPr>
          <w:rFonts w:ascii="Tahoma" w:hAnsi="Tahoma" w:cs="Tahoma"/>
        </w:rPr>
      </w:pPr>
    </w:p>
    <w:p w14:paraId="258EB8FF" w14:textId="70EB783F"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9268C7">
        <w:rPr>
          <w:rFonts w:ascii="Tahoma" w:hAnsi="Tahoma" w:cs="Tahoma"/>
        </w:rPr>
        <w:t xml:space="preserve"> </w:t>
      </w:r>
      <w:r w:rsidR="00616A49">
        <w:rPr>
          <w:rFonts w:ascii="Tahoma" w:hAnsi="Tahoma" w:cs="Tahoma"/>
        </w:rPr>
        <w:t>F</w:t>
      </w:r>
      <w:r w:rsidR="0094765A">
        <w:rPr>
          <w:rFonts w:ascii="Tahoma" w:hAnsi="Tahoma" w:cs="Tahoma"/>
        </w:rPr>
        <w:t xml:space="preserve">avorable à la hausse </w:t>
      </w:r>
      <w:r w:rsidR="00720589">
        <w:rPr>
          <w:rFonts w:ascii="Tahoma" w:hAnsi="Tahoma" w:cs="Tahoma"/>
        </w:rPr>
        <w:t>au-dessus</w:t>
      </w:r>
      <w:r w:rsidR="0094765A">
        <w:rPr>
          <w:rFonts w:ascii="Tahoma" w:hAnsi="Tahoma" w:cs="Tahoma"/>
        </w:rPr>
        <w:t xml:space="preserve"> de 130.28</w:t>
      </w:r>
      <w:r w:rsidR="00042318">
        <w:rPr>
          <w:rFonts w:ascii="Tahoma" w:hAnsi="Tahoma" w:cs="Tahoma"/>
        </w:rPr>
        <w:t xml:space="preserve">. Acheteurs confiants </w:t>
      </w:r>
      <w:r w:rsidR="00E10642">
        <w:rPr>
          <w:rFonts w:ascii="Tahoma" w:hAnsi="Tahoma" w:cs="Tahoma"/>
        </w:rPr>
        <w:t>au-dessus</w:t>
      </w:r>
      <w:r w:rsidR="00042318">
        <w:rPr>
          <w:rFonts w:ascii="Tahoma" w:hAnsi="Tahoma" w:cs="Tahoma"/>
        </w:rPr>
        <w:t xml:space="preserve"> de 130.92. Le biais positif orientera les prix sur le point d’équilibre de moyen terme de 134.29.</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2318"/>
    <w:rsid w:val="000524C5"/>
    <w:rsid w:val="000556C3"/>
    <w:rsid w:val="000833FB"/>
    <w:rsid w:val="00092058"/>
    <w:rsid w:val="000938CC"/>
    <w:rsid w:val="0009557E"/>
    <w:rsid w:val="000B221E"/>
    <w:rsid w:val="000B7DFC"/>
    <w:rsid w:val="000C0DE4"/>
    <w:rsid w:val="000D4ED3"/>
    <w:rsid w:val="001018AD"/>
    <w:rsid w:val="00103ED4"/>
    <w:rsid w:val="00105B4E"/>
    <w:rsid w:val="00134AFA"/>
    <w:rsid w:val="00135766"/>
    <w:rsid w:val="0014687D"/>
    <w:rsid w:val="0015581D"/>
    <w:rsid w:val="00163C46"/>
    <w:rsid w:val="001705F4"/>
    <w:rsid w:val="00173BEE"/>
    <w:rsid w:val="00190995"/>
    <w:rsid w:val="001A4796"/>
    <w:rsid w:val="001B1EA9"/>
    <w:rsid w:val="001D474B"/>
    <w:rsid w:val="001F650A"/>
    <w:rsid w:val="002003AD"/>
    <w:rsid w:val="002421FE"/>
    <w:rsid w:val="00262E25"/>
    <w:rsid w:val="00263ED0"/>
    <w:rsid w:val="002847FA"/>
    <w:rsid w:val="002850BB"/>
    <w:rsid w:val="0029157A"/>
    <w:rsid w:val="002A1F8E"/>
    <w:rsid w:val="002B1390"/>
    <w:rsid w:val="002B5CB1"/>
    <w:rsid w:val="002C0A31"/>
    <w:rsid w:val="002D2AA2"/>
    <w:rsid w:val="002F54B0"/>
    <w:rsid w:val="00303214"/>
    <w:rsid w:val="0030643B"/>
    <w:rsid w:val="00337611"/>
    <w:rsid w:val="00340FD9"/>
    <w:rsid w:val="00352DD9"/>
    <w:rsid w:val="003767E0"/>
    <w:rsid w:val="00397D3D"/>
    <w:rsid w:val="003E21F5"/>
    <w:rsid w:val="0040171B"/>
    <w:rsid w:val="00467005"/>
    <w:rsid w:val="004A2D2D"/>
    <w:rsid w:val="004A5154"/>
    <w:rsid w:val="004B2458"/>
    <w:rsid w:val="004E2B31"/>
    <w:rsid w:val="004F48EE"/>
    <w:rsid w:val="00531928"/>
    <w:rsid w:val="005440A4"/>
    <w:rsid w:val="00546A5A"/>
    <w:rsid w:val="00566580"/>
    <w:rsid w:val="00567AF3"/>
    <w:rsid w:val="00583BC8"/>
    <w:rsid w:val="00616A49"/>
    <w:rsid w:val="00654380"/>
    <w:rsid w:val="006635AC"/>
    <w:rsid w:val="00664BE1"/>
    <w:rsid w:val="006B055C"/>
    <w:rsid w:val="006E32BB"/>
    <w:rsid w:val="006E38E0"/>
    <w:rsid w:val="00710599"/>
    <w:rsid w:val="007203C1"/>
    <w:rsid w:val="00720589"/>
    <w:rsid w:val="00723F77"/>
    <w:rsid w:val="00744696"/>
    <w:rsid w:val="00772067"/>
    <w:rsid w:val="0077545D"/>
    <w:rsid w:val="007A0A4B"/>
    <w:rsid w:val="007A0E6C"/>
    <w:rsid w:val="007B1237"/>
    <w:rsid w:val="007B661D"/>
    <w:rsid w:val="007D19FF"/>
    <w:rsid w:val="007D2085"/>
    <w:rsid w:val="007D4181"/>
    <w:rsid w:val="0083454A"/>
    <w:rsid w:val="00837B38"/>
    <w:rsid w:val="00852F2A"/>
    <w:rsid w:val="00896554"/>
    <w:rsid w:val="008A7407"/>
    <w:rsid w:val="008F10C2"/>
    <w:rsid w:val="00902D2F"/>
    <w:rsid w:val="00922DCD"/>
    <w:rsid w:val="009268C7"/>
    <w:rsid w:val="009275A0"/>
    <w:rsid w:val="0094765A"/>
    <w:rsid w:val="00952790"/>
    <w:rsid w:val="00956417"/>
    <w:rsid w:val="00961FDF"/>
    <w:rsid w:val="00983B7D"/>
    <w:rsid w:val="009A37C2"/>
    <w:rsid w:val="009F3AB8"/>
    <w:rsid w:val="00A11606"/>
    <w:rsid w:val="00A6401C"/>
    <w:rsid w:val="00A81AB7"/>
    <w:rsid w:val="00A9059B"/>
    <w:rsid w:val="00AA4381"/>
    <w:rsid w:val="00AA522C"/>
    <w:rsid w:val="00AC379D"/>
    <w:rsid w:val="00AE47AE"/>
    <w:rsid w:val="00AE7F3B"/>
    <w:rsid w:val="00AF5109"/>
    <w:rsid w:val="00B248B7"/>
    <w:rsid w:val="00B34260"/>
    <w:rsid w:val="00B41C02"/>
    <w:rsid w:val="00B4335A"/>
    <w:rsid w:val="00B50E38"/>
    <w:rsid w:val="00B554B8"/>
    <w:rsid w:val="00B64EE0"/>
    <w:rsid w:val="00B94D71"/>
    <w:rsid w:val="00BB0E32"/>
    <w:rsid w:val="00BB6386"/>
    <w:rsid w:val="00BB6D9D"/>
    <w:rsid w:val="00BC4056"/>
    <w:rsid w:val="00BC77A5"/>
    <w:rsid w:val="00BD3FC1"/>
    <w:rsid w:val="00BF7F6C"/>
    <w:rsid w:val="00C026B6"/>
    <w:rsid w:val="00C17ED7"/>
    <w:rsid w:val="00C41F15"/>
    <w:rsid w:val="00C70171"/>
    <w:rsid w:val="00C70A68"/>
    <w:rsid w:val="00C82E98"/>
    <w:rsid w:val="00CB17C9"/>
    <w:rsid w:val="00CC72FF"/>
    <w:rsid w:val="00CC77DB"/>
    <w:rsid w:val="00CC7C21"/>
    <w:rsid w:val="00CE0886"/>
    <w:rsid w:val="00CF2516"/>
    <w:rsid w:val="00CF6D63"/>
    <w:rsid w:val="00D23B28"/>
    <w:rsid w:val="00D46C8D"/>
    <w:rsid w:val="00D63F33"/>
    <w:rsid w:val="00DA1359"/>
    <w:rsid w:val="00DB78DB"/>
    <w:rsid w:val="00DE5444"/>
    <w:rsid w:val="00DF072F"/>
    <w:rsid w:val="00DF3D6D"/>
    <w:rsid w:val="00E10642"/>
    <w:rsid w:val="00E32014"/>
    <w:rsid w:val="00E3727C"/>
    <w:rsid w:val="00E60451"/>
    <w:rsid w:val="00EB58BA"/>
    <w:rsid w:val="00EE1024"/>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4</Pages>
  <Words>632</Words>
  <Characters>3482</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133</cp:revision>
  <dcterms:created xsi:type="dcterms:W3CDTF">2021-11-25T09:44:00Z</dcterms:created>
  <dcterms:modified xsi:type="dcterms:W3CDTF">2025-02-02T14:25:00Z</dcterms:modified>
</cp:coreProperties>
</file>