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3219B2C7" w:rsidR="00902D2F" w:rsidRDefault="000A786A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18A4C7F2" wp14:editId="587315C4">
            <wp:extent cx="5760720" cy="4320540"/>
            <wp:effectExtent l="0" t="0" r="0" b="3810"/>
            <wp:docPr id="42602501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3A253489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9227E2">
        <w:rPr>
          <w:rFonts w:ascii="Tahoma" w:hAnsi="Tahoma" w:cs="Tahoma"/>
        </w:rPr>
        <w:t xml:space="preserve">e contexte de moyen terme </w:t>
      </w:r>
      <w:r w:rsidR="00693B6D">
        <w:rPr>
          <w:rFonts w:ascii="Tahoma" w:hAnsi="Tahoma" w:cs="Tahoma"/>
        </w:rPr>
        <w:t>n’a pas changé. Le</w:t>
      </w:r>
      <w:r w:rsidR="009227E2">
        <w:rPr>
          <w:rFonts w:ascii="Tahoma" w:hAnsi="Tahoma" w:cs="Tahoma"/>
        </w:rPr>
        <w:t xml:space="preserve"> contrat</w:t>
      </w:r>
      <w:r w:rsidR="00693B6D">
        <w:rPr>
          <w:rFonts w:ascii="Tahoma" w:hAnsi="Tahoma" w:cs="Tahoma"/>
        </w:rPr>
        <w:t xml:space="preserve"> Bund</w:t>
      </w:r>
      <w:r w:rsidR="009227E2">
        <w:rPr>
          <w:rFonts w:ascii="Tahoma" w:hAnsi="Tahoma" w:cs="Tahoma"/>
        </w:rPr>
        <w:t xml:space="preserve"> évolue au sein d’une dérive latérale bornée par une résistance sur </w:t>
      </w:r>
      <w:r w:rsidR="00FB432A">
        <w:rPr>
          <w:rFonts w:ascii="Tahoma" w:hAnsi="Tahoma" w:cs="Tahoma"/>
        </w:rPr>
        <w:t>139.10, un support sur 128.40 et un point d’équilibre à 134.29.</w:t>
      </w:r>
    </w:p>
    <w:p w14:paraId="7B028CD2" w14:textId="5FD6DEB8" w:rsidR="00EE7F7C" w:rsidRDefault="00EE7F7C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positionnement du marché par rapport au point neutre de 134.29 donnera un </w:t>
      </w:r>
      <w:r w:rsidR="0088386B">
        <w:rPr>
          <w:rFonts w:ascii="Tahoma" w:hAnsi="Tahoma" w:cs="Tahoma"/>
        </w:rPr>
        <w:t>léger</w:t>
      </w:r>
      <w:r>
        <w:rPr>
          <w:rFonts w:ascii="Tahoma" w:hAnsi="Tahoma" w:cs="Tahoma"/>
        </w:rPr>
        <w:t xml:space="preserve"> avantage à la baisse ou à la hausse </w:t>
      </w:r>
      <w:r w:rsidR="00693B6D">
        <w:rPr>
          <w:rFonts w:ascii="Tahoma" w:hAnsi="Tahoma" w:cs="Tahoma"/>
        </w:rPr>
        <w:t>en direction</w:t>
      </w:r>
      <w:r>
        <w:rPr>
          <w:rFonts w:ascii="Tahoma" w:hAnsi="Tahoma" w:cs="Tahoma"/>
        </w:rPr>
        <w:t xml:space="preserve"> du support ou de la résistance.</w:t>
      </w:r>
    </w:p>
    <w:p w14:paraId="418EDC89" w14:textId="33E515C7" w:rsidR="00EE7F7C" w:rsidRDefault="00BF2C0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Actuellement le Bund se situe sous 134.29.</w:t>
      </w:r>
      <w:r w:rsidR="0088386B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Ce</w:t>
      </w:r>
      <w:r w:rsidR="0088386B">
        <w:rPr>
          <w:rFonts w:ascii="Tahoma" w:hAnsi="Tahoma" w:cs="Tahoma"/>
        </w:rPr>
        <w:t>tte</w:t>
      </w:r>
      <w:r>
        <w:rPr>
          <w:rFonts w:ascii="Tahoma" w:hAnsi="Tahoma" w:cs="Tahoma"/>
        </w:rPr>
        <w:t xml:space="preserve"> position milite pour un retour sur le support de 128.40.</w:t>
      </w:r>
    </w:p>
    <w:p w14:paraId="3B5EA385" w14:textId="44319A94" w:rsidR="00BF2C01" w:rsidRDefault="00861860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fusion des trois derniers chandeliers nous indique l’absence de conviction forte</w:t>
      </w:r>
      <w:r w:rsidR="00B11F9D">
        <w:rPr>
          <w:rFonts w:ascii="Tahoma" w:hAnsi="Tahoma" w:cs="Tahoma"/>
        </w:rPr>
        <w:t>,</w:t>
      </w:r>
      <w:r>
        <w:rPr>
          <w:rFonts w:ascii="Tahoma" w:hAnsi="Tahoma" w:cs="Tahoma"/>
        </w:rPr>
        <w:t xml:space="preserve"> </w:t>
      </w:r>
      <w:r w:rsidR="0031276D">
        <w:rPr>
          <w:rFonts w:ascii="Tahoma" w:hAnsi="Tahoma" w:cs="Tahoma"/>
        </w:rPr>
        <w:t xml:space="preserve">visible </w:t>
      </w:r>
      <w:r w:rsidR="0088386B">
        <w:rPr>
          <w:rFonts w:ascii="Tahoma" w:hAnsi="Tahoma" w:cs="Tahoma"/>
        </w:rPr>
        <w:t>à travers</w:t>
      </w:r>
      <w:r w:rsidR="0031276D">
        <w:rPr>
          <w:rFonts w:ascii="Tahoma" w:hAnsi="Tahoma" w:cs="Tahoma"/>
        </w:rPr>
        <w:t xml:space="preserve"> un</w:t>
      </w:r>
      <w:r w:rsidR="001042CD">
        <w:rPr>
          <w:rFonts w:ascii="Tahoma" w:hAnsi="Tahoma" w:cs="Tahoma"/>
        </w:rPr>
        <w:t xml:space="preserve"> doji </w:t>
      </w:r>
      <w:r w:rsidR="0088386B">
        <w:rPr>
          <w:rFonts w:ascii="Tahoma" w:hAnsi="Tahoma" w:cs="Tahoma"/>
        </w:rPr>
        <w:t>à</w:t>
      </w:r>
      <w:r w:rsidR="001042CD">
        <w:rPr>
          <w:rFonts w:ascii="Tahoma" w:hAnsi="Tahoma" w:cs="Tahoma"/>
        </w:rPr>
        <w:t xml:space="preserve"> longues mèches. </w:t>
      </w:r>
      <w:r w:rsidR="0088386B">
        <w:rPr>
          <w:rFonts w:ascii="Tahoma" w:hAnsi="Tahoma" w:cs="Tahoma"/>
        </w:rPr>
        <w:t>La dernière bougie de la</w:t>
      </w:r>
      <w:r w:rsidR="0031276D">
        <w:rPr>
          <w:rFonts w:ascii="Tahoma" w:hAnsi="Tahoma" w:cs="Tahoma"/>
        </w:rPr>
        <w:t xml:space="preserve"> semaine</w:t>
      </w:r>
      <w:r w:rsidR="0088386B">
        <w:rPr>
          <w:rFonts w:ascii="Tahoma" w:hAnsi="Tahoma" w:cs="Tahoma"/>
        </w:rPr>
        <w:t xml:space="preserve"> renforce </w:t>
      </w:r>
      <w:r w:rsidR="00B11F9D">
        <w:rPr>
          <w:rFonts w:ascii="Tahoma" w:hAnsi="Tahoma" w:cs="Tahoma"/>
        </w:rPr>
        <w:t xml:space="preserve">cette </w:t>
      </w:r>
      <w:r w:rsidR="0088386B">
        <w:rPr>
          <w:rFonts w:ascii="Tahoma" w:hAnsi="Tahoma" w:cs="Tahoma"/>
        </w:rPr>
        <w:t xml:space="preserve">idée d’absence de conviction et permet d’évoquer </w:t>
      </w:r>
      <w:r w:rsidR="0031276D">
        <w:rPr>
          <w:rFonts w:ascii="Tahoma" w:hAnsi="Tahoma" w:cs="Tahoma"/>
        </w:rPr>
        <w:t>l</w:t>
      </w:r>
      <w:r w:rsidR="001042CD">
        <w:rPr>
          <w:rFonts w:ascii="Tahoma" w:hAnsi="Tahoma" w:cs="Tahoma"/>
        </w:rPr>
        <w:t xml:space="preserve">’ambivalence du marché. </w:t>
      </w:r>
      <w:r w:rsidR="00B11F9D">
        <w:rPr>
          <w:rFonts w:ascii="Tahoma" w:hAnsi="Tahoma" w:cs="Tahoma"/>
        </w:rPr>
        <w:t xml:space="preserve">Sa dynamique a été la suivante : </w:t>
      </w:r>
      <w:r w:rsidR="0088386B">
        <w:rPr>
          <w:rFonts w:ascii="Tahoma" w:hAnsi="Tahoma" w:cs="Tahoma"/>
        </w:rPr>
        <w:t xml:space="preserve">Le doji pierre tombale en fusion des chandelles T-2 et T-3 </w:t>
      </w:r>
      <w:r w:rsidR="0031276D">
        <w:rPr>
          <w:rFonts w:ascii="Tahoma" w:hAnsi="Tahoma" w:cs="Tahoma"/>
        </w:rPr>
        <w:t xml:space="preserve">indiquait l’imminence d’un retournement baissier. Mais la dernière bougie </w:t>
      </w:r>
      <w:r w:rsidR="007B2F09">
        <w:rPr>
          <w:rFonts w:ascii="Tahoma" w:hAnsi="Tahoma" w:cs="Tahoma"/>
        </w:rPr>
        <w:t xml:space="preserve">de la semaine, </w:t>
      </w:r>
      <w:r w:rsidR="0031276D">
        <w:rPr>
          <w:rFonts w:ascii="Tahoma" w:hAnsi="Tahoma" w:cs="Tahoma"/>
        </w:rPr>
        <w:t>avec sa mèche basse</w:t>
      </w:r>
      <w:r w:rsidR="007B2F09">
        <w:rPr>
          <w:rFonts w:ascii="Tahoma" w:hAnsi="Tahoma" w:cs="Tahoma"/>
        </w:rPr>
        <w:t xml:space="preserve">, </w:t>
      </w:r>
      <w:r w:rsidR="0031276D">
        <w:rPr>
          <w:rFonts w:ascii="Tahoma" w:hAnsi="Tahoma" w:cs="Tahoma"/>
        </w:rPr>
        <w:t>rééquilibre le rapport de force sans pour autant avantager les haussiers ou les baissiers.</w:t>
      </w:r>
    </w:p>
    <w:p w14:paraId="374D1F17" w14:textId="24AE7426" w:rsidR="00583BC8" w:rsidRDefault="00583BC8" w:rsidP="00B41C02">
      <w:pPr>
        <w:jc w:val="both"/>
        <w:rPr>
          <w:rFonts w:ascii="Tahoma" w:hAnsi="Tahoma" w:cs="Tahoma"/>
        </w:rPr>
      </w:pPr>
    </w:p>
    <w:p w14:paraId="3B5A4C29" w14:textId="77777777" w:rsidR="00B11F9D" w:rsidRDefault="00B11F9D" w:rsidP="00B41C02">
      <w:pPr>
        <w:jc w:val="both"/>
        <w:rPr>
          <w:rFonts w:ascii="Tahoma" w:hAnsi="Tahoma" w:cs="Tahoma"/>
        </w:rPr>
      </w:pP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lastRenderedPageBreak/>
        <w:t>DAY</w:t>
      </w:r>
    </w:p>
    <w:p w14:paraId="1675B8DF" w14:textId="63263A14" w:rsidR="00583BC8" w:rsidRDefault="000A786A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DE2260A" wp14:editId="3C7FB5B5">
            <wp:extent cx="5760720" cy="4320540"/>
            <wp:effectExtent l="0" t="0" r="0" b="3810"/>
            <wp:docPr id="1903569699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B8B186" w14:textId="0742ED2D" w:rsidR="00467005" w:rsidRDefault="001C29FF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décomposition de la dernière bougie hebdomadaire donne sur le court terme la formation d’une structure de retournement haussière en étoile du matin.</w:t>
      </w:r>
    </w:p>
    <w:p w14:paraId="598FC527" w14:textId="775DC3DF" w:rsidR="001B25F7" w:rsidRDefault="001B25F7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</w:t>
      </w:r>
      <w:r w:rsidR="00B11F9D">
        <w:rPr>
          <w:rFonts w:ascii="Tahoma" w:hAnsi="Tahoma" w:cs="Tahoma"/>
        </w:rPr>
        <w:t xml:space="preserve">contexte de court terme s’appuie sur le </w:t>
      </w:r>
      <w:r>
        <w:rPr>
          <w:rFonts w:ascii="Tahoma" w:hAnsi="Tahoma" w:cs="Tahoma"/>
        </w:rPr>
        <w:t>long marubozu blanc du 15 janvier qui a débuté sur un bas de 130.32</w:t>
      </w:r>
      <w:r w:rsidR="00B11F9D">
        <w:rPr>
          <w:rFonts w:ascii="Tahoma" w:hAnsi="Tahoma" w:cs="Tahoma"/>
        </w:rPr>
        <w:t>.</w:t>
      </w:r>
      <w:r>
        <w:rPr>
          <w:rFonts w:ascii="Tahoma" w:hAnsi="Tahoma" w:cs="Tahoma"/>
        </w:rPr>
        <w:t xml:space="preserve"> </w:t>
      </w:r>
      <w:r w:rsidR="00B11F9D">
        <w:rPr>
          <w:rFonts w:ascii="Tahoma" w:hAnsi="Tahoma" w:cs="Tahoma"/>
        </w:rPr>
        <w:t xml:space="preserve"> Il </w:t>
      </w:r>
      <w:r>
        <w:rPr>
          <w:rFonts w:ascii="Tahoma" w:hAnsi="Tahoma" w:cs="Tahoma"/>
        </w:rPr>
        <w:t xml:space="preserve">influence toujours positivement le marché. Son point médian de 130.92 n’a pas encore été franchi. </w:t>
      </w:r>
    </w:p>
    <w:p w14:paraId="5A5E7611" w14:textId="17EEF82A" w:rsidR="00803D1B" w:rsidRDefault="00803D1B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Mais face à ce marubozu, le marché devra s’affranchir de la résistance de 133.63 matérialisé</w:t>
      </w:r>
      <w:r w:rsidR="00B11F9D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par un plat de SSB future. C’est ce plat qui a amené la correction </w:t>
      </w:r>
      <w:r w:rsidR="00B11F9D">
        <w:rPr>
          <w:rFonts w:ascii="Tahoma" w:hAnsi="Tahoma" w:cs="Tahoma"/>
        </w:rPr>
        <w:t xml:space="preserve">récente </w:t>
      </w:r>
      <w:r>
        <w:rPr>
          <w:rFonts w:ascii="Tahoma" w:hAnsi="Tahoma" w:cs="Tahoma"/>
        </w:rPr>
        <w:t>des prix. Elle a été plus étendue que je ne l’anticipais puisque la semaine dernière je la limitais au plat de KS de 131.99.</w:t>
      </w:r>
    </w:p>
    <w:p w14:paraId="5A59DD68" w14:textId="61873377" w:rsidR="008C1E47" w:rsidRDefault="008C1E47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Sans conviction forte et c’est ce que nous dit le moyen terme,  je doute que cette résistance de 133.63 soit passée </w:t>
      </w:r>
      <w:r w:rsidR="009619B9">
        <w:rPr>
          <w:rFonts w:ascii="Tahoma" w:hAnsi="Tahoma" w:cs="Tahoma"/>
        </w:rPr>
        <w:t>la</w:t>
      </w:r>
      <w:r>
        <w:rPr>
          <w:rFonts w:ascii="Tahoma" w:hAnsi="Tahoma" w:cs="Tahoma"/>
        </w:rPr>
        <w:t xml:space="preserve"> semaine</w:t>
      </w:r>
      <w:r w:rsidR="009619B9">
        <w:rPr>
          <w:rFonts w:ascii="Tahoma" w:hAnsi="Tahoma" w:cs="Tahoma"/>
        </w:rPr>
        <w:t xml:space="preserve"> prochaine</w:t>
      </w:r>
      <w:r>
        <w:rPr>
          <w:rFonts w:ascii="Tahoma" w:hAnsi="Tahoma" w:cs="Tahoma"/>
        </w:rPr>
        <w:t>. Une évolution des prix dans son nuage de court terme, donc dans sa zone d’équilibre est alors envisageable. Cela donnera une zone comprise entre 132.00 et 133.60.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E975A96" w14:textId="679B4B59" w:rsidR="00EE6B93" w:rsidRDefault="00B94D71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4A7589">
        <w:rPr>
          <w:rFonts w:ascii="Tahoma" w:hAnsi="Tahoma" w:cs="Tahoma"/>
        </w:rPr>
        <w:t xml:space="preserve"> Pas de conviction directionnelle forte. </w:t>
      </w:r>
      <w:r w:rsidR="0088386B">
        <w:rPr>
          <w:rFonts w:ascii="Tahoma" w:hAnsi="Tahoma" w:cs="Tahoma"/>
        </w:rPr>
        <w:t>Un maintien</w:t>
      </w:r>
      <w:r w:rsidR="004A7589">
        <w:rPr>
          <w:rFonts w:ascii="Tahoma" w:hAnsi="Tahoma" w:cs="Tahoma"/>
        </w:rPr>
        <w:t xml:space="preserve"> sous la résistance de 133.63 est </w:t>
      </w:r>
      <w:r w:rsidR="0088386B">
        <w:rPr>
          <w:rFonts w:ascii="Tahoma" w:hAnsi="Tahoma" w:cs="Tahoma"/>
        </w:rPr>
        <w:t>envisagé</w:t>
      </w:r>
      <w:r w:rsidR="004A7589">
        <w:rPr>
          <w:rFonts w:ascii="Tahoma" w:hAnsi="Tahoma" w:cs="Tahoma"/>
        </w:rPr>
        <w:t xml:space="preserve"> sans pour autant remettre en question le biais favorable à la hausse depuis le rebond du 15 janvier.</w:t>
      </w:r>
    </w:p>
    <w:p w14:paraId="01260563" w14:textId="4380D793" w:rsidR="00E3727C" w:rsidRPr="00EE6B93" w:rsidRDefault="00EE6B93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ECBFD62" w14:textId="4026536A" w:rsidR="00723F77" w:rsidRDefault="00723F77" w:rsidP="00041E45">
      <w:pPr>
        <w:jc w:val="both"/>
        <w:rPr>
          <w:rFonts w:ascii="Tahoma" w:hAnsi="Tahoma" w:cs="Tahoma"/>
        </w:rPr>
      </w:pPr>
    </w:p>
    <w:p w14:paraId="195ADAF5" w14:textId="4D8EAD7D" w:rsidR="00EE6B93" w:rsidRDefault="00EE6B93" w:rsidP="00041E45">
      <w:pPr>
        <w:jc w:val="both"/>
        <w:rPr>
          <w:rFonts w:ascii="Tahoma" w:hAnsi="Tahoma" w:cs="Tahoma"/>
        </w:rPr>
      </w:pPr>
    </w:p>
    <w:p w14:paraId="75A26EFF" w14:textId="77777777" w:rsidR="00EE6B93" w:rsidRDefault="00EE6B93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37229"/>
    <w:rsid w:val="00041E45"/>
    <w:rsid w:val="000524C5"/>
    <w:rsid w:val="000556C3"/>
    <w:rsid w:val="000833FB"/>
    <w:rsid w:val="00092058"/>
    <w:rsid w:val="000938CC"/>
    <w:rsid w:val="000A786A"/>
    <w:rsid w:val="000B221E"/>
    <w:rsid w:val="000B7DFC"/>
    <w:rsid w:val="000C0DE4"/>
    <w:rsid w:val="000D4ED3"/>
    <w:rsid w:val="001018AD"/>
    <w:rsid w:val="00103ED4"/>
    <w:rsid w:val="001042CD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B25F7"/>
    <w:rsid w:val="001C29FF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1276D"/>
    <w:rsid w:val="00337611"/>
    <w:rsid w:val="00340FD9"/>
    <w:rsid w:val="00352DD9"/>
    <w:rsid w:val="003767E0"/>
    <w:rsid w:val="00397D3D"/>
    <w:rsid w:val="0040171B"/>
    <w:rsid w:val="00467005"/>
    <w:rsid w:val="004A2D2D"/>
    <w:rsid w:val="004A5154"/>
    <w:rsid w:val="004A7589"/>
    <w:rsid w:val="004F48EE"/>
    <w:rsid w:val="00531928"/>
    <w:rsid w:val="005440A4"/>
    <w:rsid w:val="00546A5A"/>
    <w:rsid w:val="00566580"/>
    <w:rsid w:val="00567AF3"/>
    <w:rsid w:val="00583BC8"/>
    <w:rsid w:val="00654380"/>
    <w:rsid w:val="00664BE1"/>
    <w:rsid w:val="00693B6D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2F09"/>
    <w:rsid w:val="007B661D"/>
    <w:rsid w:val="007D19FF"/>
    <w:rsid w:val="007D2085"/>
    <w:rsid w:val="007D4181"/>
    <w:rsid w:val="00803D1B"/>
    <w:rsid w:val="0083454A"/>
    <w:rsid w:val="00837B38"/>
    <w:rsid w:val="00861860"/>
    <w:rsid w:val="0088386B"/>
    <w:rsid w:val="00896554"/>
    <w:rsid w:val="008A7407"/>
    <w:rsid w:val="008C1E47"/>
    <w:rsid w:val="008F10C2"/>
    <w:rsid w:val="00902D2F"/>
    <w:rsid w:val="009227E2"/>
    <w:rsid w:val="009619B9"/>
    <w:rsid w:val="00961FDF"/>
    <w:rsid w:val="00983B7D"/>
    <w:rsid w:val="009A37C2"/>
    <w:rsid w:val="009F3AB8"/>
    <w:rsid w:val="00A11606"/>
    <w:rsid w:val="00A6401C"/>
    <w:rsid w:val="00A81AB7"/>
    <w:rsid w:val="00AA522C"/>
    <w:rsid w:val="00AE7F3B"/>
    <w:rsid w:val="00B11F9D"/>
    <w:rsid w:val="00B34260"/>
    <w:rsid w:val="00B41C02"/>
    <w:rsid w:val="00B4335A"/>
    <w:rsid w:val="00B50E38"/>
    <w:rsid w:val="00B554B8"/>
    <w:rsid w:val="00B64EE0"/>
    <w:rsid w:val="00B94D71"/>
    <w:rsid w:val="00BB0E32"/>
    <w:rsid w:val="00BB6D9D"/>
    <w:rsid w:val="00BC77A5"/>
    <w:rsid w:val="00BD3FC1"/>
    <w:rsid w:val="00BF2C01"/>
    <w:rsid w:val="00C17ED7"/>
    <w:rsid w:val="00C41F15"/>
    <w:rsid w:val="00C70171"/>
    <w:rsid w:val="00C70A68"/>
    <w:rsid w:val="00C82E98"/>
    <w:rsid w:val="00CB17C9"/>
    <w:rsid w:val="00CC72FF"/>
    <w:rsid w:val="00CC7C21"/>
    <w:rsid w:val="00CE0886"/>
    <w:rsid w:val="00CF2516"/>
    <w:rsid w:val="00CF6D63"/>
    <w:rsid w:val="00D23B28"/>
    <w:rsid w:val="00D46C8D"/>
    <w:rsid w:val="00DA1359"/>
    <w:rsid w:val="00DC05A8"/>
    <w:rsid w:val="00DE5444"/>
    <w:rsid w:val="00DF072F"/>
    <w:rsid w:val="00E32014"/>
    <w:rsid w:val="00E3727C"/>
    <w:rsid w:val="00EA5E7A"/>
    <w:rsid w:val="00EB58BA"/>
    <w:rsid w:val="00EE6B93"/>
    <w:rsid w:val="00EE7F7C"/>
    <w:rsid w:val="00F04A6E"/>
    <w:rsid w:val="00F04DEF"/>
    <w:rsid w:val="00F31070"/>
    <w:rsid w:val="00F53F10"/>
    <w:rsid w:val="00F636F8"/>
    <w:rsid w:val="00FA2C8E"/>
    <w:rsid w:val="00FB432A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3</Pages>
  <Words>478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114</cp:revision>
  <dcterms:created xsi:type="dcterms:W3CDTF">2021-11-25T09:44:00Z</dcterms:created>
  <dcterms:modified xsi:type="dcterms:W3CDTF">2025-02-23T13:52:00Z</dcterms:modified>
</cp:coreProperties>
</file>